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set 생태계 가이드</w:t>
      </w:r>
    </w:p>
    <w:p>
      <w:r>
        <w:t>현재 EA 소스와 set 매니페스트에서 생성한 공식 참조 — EA 1.11 — 127 inputs — 3738 sets</w:t>
      </w:r>
    </w:p>
    <w:p>
      <w:pPr>
        <w:pStyle w:val="Heading2"/>
      </w:pPr>
      <w:r>
        <w:rPr>
          <w:color w:val="1E3A5F"/>
        </w:rPr>
        <w:t>범위와 기준 데이터</w:t>
      </w:r>
    </w:p>
    <w:p>
      <w:r>
        <w:t>EA 소스가 inputs, 기본값, 기능을 정의하고 매니페스트가 각 set의 상태, 경로, SHA-256을 정의합니다. 구 Quantum 자료는 기록용입니다.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자동 생성 문서이며 파라미터 식별자는 EA와 정확히 같습니다.</w:t>
      </w:r>
    </w:p>
    <w:p>
      <w:pPr>
        <w:pStyle w:val="Heading2"/>
      </w:pPr>
      <w:r>
        <w:rPr>
          <w:color w:val="1E3A5F"/>
        </w:rPr>
        <w:t>설치와 첫 실행</w:t>
      </w:r>
    </w:p>
    <w:p>
      <w:r>
        <w:t>일치하는 EX5를 설치하고 Tester Inputs에서 set을 로드한 뒤 정확한 심볼과 Journal을 확인합니다.</w:t>
      </w:r>
    </w:p>
    <w:p>
      <w:pPr>
        <w:pStyle w:val="Heading2"/>
      </w:pPr>
      <w:r>
        <w:rPr>
          <w:color w:val="1E3A5F"/>
        </w:rPr>
        <w:t>검색된 set 라이브러리</w:t>
      </w:r>
    </w:p>
    <w:p>
      <w:r>
        <w:t>개수는 파일과 매니페스트에서 읽습니다. 각 set은 연구 가설입니다. Counts and fingerprints were read at generation time.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Folder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01_Forex</w:t>
            </w:r>
          </w:p>
        </w:tc>
        <w:tc>
          <w:tcPr>
            <w:tcW w:type="dxa" w:w="2880"/>
          </w:tcPr>
          <w:p>
            <w:r>
              <w:t>168</w:t>
            </w:r>
          </w:p>
        </w:tc>
        <w:tc>
          <w:tcPr>
            <w:tcW w:type="dxa" w:w="2880"/>
          </w:tcPr>
          <w:p>
            <w:r>
              <w:t>Per-asset baselines — Forex.</w:t>
            </w:r>
          </w:p>
        </w:tc>
      </w:tr>
      <w:tr>
        <w:tc>
          <w:tcPr>
            <w:tcW w:type="dxa" w:w="2880"/>
          </w:tcPr>
          <w:p>
            <w:r>
              <w:t>02_Metals</w:t>
            </w:r>
          </w:p>
        </w:tc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Per-asset baselines — Metals.</w:t>
            </w:r>
          </w:p>
        </w:tc>
      </w:tr>
      <w:tr>
        <w:tc>
          <w:tcPr>
            <w:tcW w:type="dxa" w:w="2880"/>
          </w:tcPr>
          <w:p>
            <w:r>
              <w:t>03_Cryptocurrencies</w:t>
            </w:r>
          </w:p>
        </w:tc>
        <w:tc>
          <w:tcPr>
            <w:tcW w:type="dxa" w:w="2880"/>
          </w:tcPr>
          <w:p>
            <w:r>
              <w:t>36</w:t>
            </w:r>
          </w:p>
        </w:tc>
        <w:tc>
          <w:tcPr>
            <w:tcW w:type="dxa" w:w="2880"/>
          </w:tcPr>
          <w:p>
            <w:r>
              <w:t>Per-asset baselines — Cryptocurrencies.</w:t>
            </w:r>
          </w:p>
        </w:tc>
      </w:tr>
      <w:tr>
        <w:tc>
          <w:tcPr>
            <w:tcW w:type="dxa" w:w="2880"/>
          </w:tcPr>
          <w:p>
            <w:r>
              <w:t>04_Indices_Energies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Per-asset baselines — Indices Energies.</w:t>
            </w:r>
          </w:p>
        </w:tc>
      </w:tr>
      <w:tr>
        <w:tc>
          <w:tcPr>
            <w:tcW w:type="dxa" w:w="2880"/>
          </w:tcPr>
          <w:p>
            <w:r>
              <w:t>05_US_Stocks_CFD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Per-asset baselines — US Stocks CFD.</w:t>
            </w:r>
          </w:p>
        </w:tc>
      </w:tr>
      <w:tr>
        <w:tc>
          <w:tcPr>
            <w:tcW w:type="dxa" w:w="2880"/>
          </w:tcPr>
          <w:p>
            <w:r>
              <w:t>06_Research_Matrix</w:t>
            </w:r>
          </w:p>
        </w:tc>
        <w:tc>
          <w:tcPr>
            <w:tcW w:type="dxa" w:w="2880"/>
          </w:tcPr>
          <w:p>
            <w:r>
              <w:t>935</w:t>
            </w:r>
          </w:p>
        </w:tc>
        <w:tc>
          <w:tcPr>
            <w:tcW w:type="dxa" w:w="2880"/>
          </w:tcPr>
          <w:p>
            <w:r>
              <w:t>Controlled one-axis research.</w:t>
            </w:r>
          </w:p>
        </w:tc>
      </w:tr>
      <w:tr>
        <w:tc>
          <w:tcPr>
            <w:tcW w:type="dxa" w:w="2880"/>
          </w:tcPr>
          <w:p>
            <w:r>
              <w:t>07_Entry_System_Matrix</w:t>
            </w:r>
          </w:p>
        </w:tc>
        <w:tc>
          <w:tcPr>
            <w:tcW w:type="dxa" w:w="2880"/>
          </w:tcPr>
          <w:p>
            <w:r>
              <w:t>3360</w:t>
            </w:r>
          </w:p>
        </w:tc>
        <w:tc>
          <w:tcPr>
            <w:tcW w:type="dxa" w:w="2880"/>
          </w:tcPr>
          <w:p>
            <w:r>
              <w:t>Indicator × entry method × management matrix.</w:t>
            </w:r>
          </w:p>
        </w:tc>
      </w:tr>
      <w:tr>
        <w:tc>
          <w:tcPr>
            <w:tcW w:type="dxa" w:w="2880"/>
          </w:tcPr>
          <w:p>
            <w:r>
              <w:t>08_Filter_Stack_Matrix</w:t>
            </w:r>
          </w:p>
        </w:tc>
        <w:tc>
          <w:tcPr>
            <w:tcW w:type="dxa" w:w="2880"/>
          </w:tcPr>
          <w:p>
            <w:r>
              <w:t>320</w:t>
            </w:r>
          </w:p>
        </w:tc>
        <w:tc>
          <w:tcPr>
            <w:tcW w:type="dxa" w:w="2880"/>
          </w:tcPr>
          <w:p>
            <w:r>
              <w:t>Signal-filter stack combinations.</w:t>
            </w:r>
          </w:p>
        </w:tc>
      </w:tr>
      <w:tr>
        <w:tc>
          <w:tcPr>
            <w:tcW w:type="dxa" w:w="2880"/>
          </w:tcPr>
          <w:p>
            <w:r>
              <w:t>09_Risk_Engine_Matrix</w:t>
            </w:r>
          </w:p>
        </w:tc>
        <w:tc>
          <w:tcPr>
            <w:tcW w:type="dxa" w:w="2880"/>
          </w:tcPr>
          <w:p>
            <w:r>
              <w:t>130</w:t>
            </w:r>
          </w:p>
        </w:tc>
        <w:tc>
          <w:tcPr>
            <w:tcW w:type="dxa" w:w="2880"/>
          </w:tcPr>
          <w:p>
            <w:r>
              <w:t>Compatible sizing, risk and recovery models.</w:t>
            </w:r>
          </w:p>
        </w:tc>
      </w:tr>
      <w:tr>
        <w:tc>
          <w:tcPr>
            <w:tcW w:type="dxa" w:w="2880"/>
          </w:tcPr>
          <w:p>
            <w:r>
              <w:t>10_Exit_Stack_Matrix</w:t>
            </w:r>
          </w:p>
        </w:tc>
        <w:tc>
          <w:tcPr>
            <w:tcW w:type="dxa" w:w="2880"/>
          </w:tcPr>
          <w:p>
            <w:r>
              <w:t>720</w:t>
            </w:r>
          </w:p>
        </w:tc>
        <w:tc>
          <w:tcPr>
            <w:tcW w:type="dxa" w:w="2880"/>
          </w:tcPr>
          <w:p>
            <w:r>
              <w:t>Exit-control stack combinations.</w:t>
            </w:r>
          </w:p>
        </w:tc>
      </w:tr>
    </w:tbl>
    <w:p>
      <w:pPr>
        <w:pStyle w:val="Heading2"/>
      </w:pPr>
      <w:r>
        <w:rPr>
          <w:color w:val="1E3A5F"/>
        </w:rPr>
        <w:t>상태와 배포 판단</w:t>
      </w:r>
    </w:p>
    <w:p>
      <w:r>
        <w:t>원래 상태를 유지하고 USE, REOPTIMIZE, RESEARCH, HOLD로 보수적으로 매핑합니다.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시스템</w:t>
            </w:r>
          </w:p>
        </w:tc>
        <w:tc>
          <w:tcPr>
            <w:tcW w:type="dxa" w:w="2880"/>
          </w:tcPr>
          <w:p>
            <w:r>
              <w:t>관리 방식</w:t>
            </w:r>
          </w:p>
        </w:tc>
        <w:tc>
          <w:tcPr>
            <w:tcW w:type="dxa" w:w="2880"/>
          </w:tcPr>
          <w:p>
            <w:r>
              <w:t>세트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안전한 절차</w:t>
      </w:r>
    </w:p>
    <w:p>
      <w:r>
        <w:t>단계마다 한 매트릭스만 변경하고 근거를 보관하십시오.</w:t>
      </w:r>
    </w:p>
    <w:p>
      <w:pPr>
        <w:pStyle w:val="ListBullet"/>
      </w:pPr>
      <w:r>
        <w:t>EX5, 소스, set schema, 매니페스트 버전을 일치시킵니다.</w:t>
      </w:r>
    </w:p>
    <w:p>
      <w:pPr>
        <w:pStyle w:val="ListBullet"/>
      </w:pPr>
      <w:r>
        <w:t>Strategy Tester Inputs에서 라이브러리를 로드합니다.</w:t>
      </w:r>
    </w:p>
    <w:p>
      <w:pPr>
        <w:pStyle w:val="ListBullet"/>
      </w:pPr>
      <w:r>
        <w:t>정확한 브로커 심볼과 suffix를 매핑합니다.</w:t>
      </w:r>
    </w:p>
    <w:p>
      <w:pPr>
        <w:pStyle w:val="ListBullet"/>
      </w:pPr>
      <w:r>
        <w:t>클래스와 종목으로 탐색합니다. 각 종목에는 11개 시스템 유형(01_SLTP~11_SIGNAL_ONLY)이 있고, 방향별 set 하나(BUY/SELL, 통합 그리드는 BOTH), 진입은 두 변형 — MULTI는 단일 축에서 지표 0–10을 경쟁시키고 ICHIMOKU는 전용 파일입니다.</w:t>
      </w:r>
    </w:p>
    <w:p>
      <w:pPr>
        <w:pStyle w:val="ListBullet"/>
      </w:pPr>
      <w:r>
        <w:t>1단계는 영역 탐색입니다. set을 그대로 유전 최적화에 돌립니다 — 진입 그룹 전체(지표, 방식, 타임프레임, applied price, 기간), 시스템의 청산, 필터 스위치를 한 번에 모두 엽니다.</w:t>
      </w:r>
    </w:p>
    <w:p>
      <w:pPr>
        <w:pStyle w:val="ListBullet"/>
      </w:pPr>
      <w:r>
        <w:t>다음 라운드부터는 이전 단계에서 결정된 ‘문자형’ 입력(enum·bool)을 Y→N으로 잠그고 숫자형만 열어 둡니다. 필터 미세 조정은 스위치가 켜진 채 살아남은 경우에만 들어갑니다.</w:t>
      </w:r>
    </w:p>
    <w:p>
      <w:pPr>
        <w:pStyle w:val="ListBullet"/>
      </w:pPr>
      <w:r>
        <w:t>ATR 진입 필터(EntradaATR)는 그리드 시스템에만 존재하며, 그 외에서는 설계상 꺼져 있습니다.</w:t>
      </w:r>
    </w:p>
    <w:p>
      <w:pPr>
        <w:pStyle w:val="ListBullet"/>
      </w:pPr>
      <w:r>
        <w:t>승자는 실제 틱으로 검증합니다. OHLC 대비 괴리와 표본 외 보존율이 결정하며, 표본 내 수익이 아닙니다.</w:t>
      </w:r>
    </w:p>
    <w:p>
      <w:pPr>
        <w:pStyle w:val="ListBullet"/>
      </w:pPr>
      <w:r>
        <w:t>실제 틱 이후 포지션 사이징을 Percentage로 바꿔 다시 실행하고, 이것도 통과할 때만 승격합니다 — set이 운용될 모드도 바로 이것입니다.</w:t>
      </w:r>
    </w:p>
    <w:p>
      <w:pPr>
        <w:pStyle w:val="Heading2"/>
      </w:pPr>
      <w:r>
        <w:rPr>
          <w:color w:val="1E3A5F"/>
        </w:rPr>
        <w:t>사이클 대시보드 텔레메트리</w:t>
      </w:r>
    </w:p>
    <w:p>
      <w:r>
        <w:t>패널은 랏 계산과 바스켓 청산에 쓰이는 동일한 상태 스냅샷을 사용합니다.</w:t>
      </w:r>
    </w:p>
    <w:p>
      <w:pPr>
        <w:pStyle w:val="ListBullet"/>
      </w:pPr>
      <w:r>
        <w:t>tick 주기 갱신은 초당 1회로 제한되며 초기화와 거래 이벤트는 즉시 갱신할 수 있습니다.</w:t>
      </w:r>
    </w:p>
    <w:p>
      <w:pPr>
        <w:pStyle w:val="ListBullet"/>
      </w:pPr>
      <w:r>
        <w:t>Balance/Equity는 전체 계정입니다. Closed P&amp;L은 OnInit 이후 변화이고 Open P&amp;L/positions는 Symbol + Magic으로 필터한 현재 상태입니다.</w:t>
      </w:r>
    </w:p>
    <w:p>
      <w:pPr>
        <w:pStyle w:val="ListBullet"/>
      </w:pPr>
      <w:r>
        <w:t>Martingale은 BUY/SELL별 연속 손실, 사이클 손실 횟수·총액, recovered, deficit, deficit × Multiplicador target을 표시합니다.</w:t>
      </w:r>
    </w:p>
    <w:p>
      <w:pPr>
        <w:pStyle w:val="ListBullet"/>
      </w:pPr>
      <w:r>
        <w:t>MaxMartingaleSteps 초과 시 hard reset으로 기존 deficit을 버리고 다음 주문은 base lot을 씁니다. 방향별 최대 1개 포지션만 허용됩니다.</w:t>
      </w:r>
    </w:p>
    <w:p>
      <w:pPr>
        <w:pStyle w:val="ListBullet"/>
      </w:pPr>
      <w:r>
        <w:t>D'Alembert는 BUY/SELL 현재 레벨과 정규화된 다음 랏을 표시합니다.</w:t>
      </w:r>
    </w:p>
    <w:p>
      <w:pPr>
        <w:pStyle w:val="ListBullet"/>
      </w:pPr>
      <w:r>
        <w:t>Grid는 legs/volume, 비용 포함 realized, open P&amp;L, cycle P&amp;L, 시작 시 고정 target, remaining을 표시합니다.</w:t>
      </w:r>
    </w:p>
    <w:p>
      <w:pPr>
        <w:pStyle w:val="ListBullet"/>
      </w:pPr>
      <w:r>
        <w:t>Anchor는 가장 최근 확정 포지션입니다. BUY는 anchor − ATR × DistanciaMinima 미만, SELL은 그 이상을 엄격히 요구하며 진행은 ATR로 표시됩니다.</w:t>
      </w:r>
    </w:p>
    <w:p>
      <w:pPr>
        <w:pStyle w:val="ListBullet"/>
      </w:pPr>
      <w:r>
        <w:t>Separate는 flat이 된 방향의 사이클만 끝내고 Unified는 양쪽 모두 flat일 때 끝납니다. 처리 중 주문은 reset을 지연합니다.</w:t>
      </w:r>
    </w:p>
    <w:p>
      <w:pPr>
        <w:pStyle w:val="ListBullet"/>
      </w:pPr>
      <w:r>
        <w:t>Target은 청산 요청을 시작할 뿐이며 실제 exit commission, fee, slippage로 최종 결과가 조금 낮을 수 있습니다.</w:t>
      </w:r>
    </w:p>
    <w:p>
      <w:pPr>
        <w:pStyle w:val="ListBullet"/>
      </w:pPr>
      <w:r>
        <w:t>InterfaceLanguage는 11개 언어를 유지합니다. Auto는 Tester에서 English, live에서 터미널 언어를 사용하며 미번역 label은 English로 대체됩니다.</w:t>
      </w:r>
    </w:p>
    <w:p>
      <w:pPr>
        <w:pStyle w:val="Heading2"/>
      </w:pPr>
      <w:r>
        <w:rPr>
          <w:color w:val="1E3A5F"/>
        </w:rPr>
        <w:t>호환성과 제한</w:t>
      </w:r>
    </w:p>
    <w:p>
      <w:r>
        <w:t>보수적인 규칙이며 브로커의 더 엄격한 제한이 우선합니다.</w:t>
      </w:r>
    </w:p>
    <w:p>
      <w:pPr>
        <w:pStyle w:val="ListBullet"/>
      </w:pPr>
      <w:r>
        <w:t>Percentage와 Fixed-R은 AtivarStop=true가 필요합니다.</w:t>
      </w:r>
    </w:p>
    <w:p>
      <w:pPr>
        <w:pStyle w:val="ListBullet"/>
      </w:pPr>
      <w:r>
        <w:t>Grid는 Monetary/Fixed Lot, Recovery_None, hedging account만 지원합니다.</w:t>
      </w:r>
    </w:p>
    <w:p>
      <w:pPr>
        <w:pStyle w:val="ListBullet"/>
      </w:pPr>
      <w:r>
        <w:t>Grid는 take, 양수 DistanciaMinima, 최소 2의 제한이 필요합니다.</w:t>
      </w:r>
    </w:p>
    <w:p>
      <w:pPr>
        <w:pStyle w:val="ListBullet"/>
      </w:pPr>
      <w:r>
        <w:t>바스켓이 열려 있는 동안 해당 사이클의 실현 손실, swap, commission, fees는 목표 달성에 필요한 결과에 계속 포함되며 한 레그의 이익만으로 사라지지 않습니다.</w:t>
      </w:r>
    </w:p>
    <w:p>
      <w:pPr>
        <w:pStyle w:val="ListBullet"/>
      </w:pPr>
      <w:r>
        <w:t>Grid_SeparateProfit에서 BUY와 SELL 사이클은 독립적입니다. 한 방향의 모든 포지션이 사라지면 그 방향 사이클은 종료되고 이후 진입은 종료된 적자를 이월하지 않는 새 사이클입니다.</w:t>
      </w:r>
    </w:p>
    <w:p>
      <w:pPr>
        <w:pStyle w:val="ListBullet"/>
      </w:pPr>
      <w:r>
        <w:t>D'Alembert는 Fixed Lot, Grid_Disabled, DAlembertStep&gt;0 전용입니다.</w:t>
      </w:r>
    </w:p>
    <w:p>
      <w:pPr>
        <w:pStyle w:val="ListBullet"/>
      </w:pPr>
      <w:r>
        <w:t>Martingale은 MaxMartingaleSteps/MaxMartingaleLot을 따릅니다.</w:t>
      </w:r>
    </w:p>
    <w:p>
      <w:pPr>
        <w:pStyle w:val="ListBullet"/>
      </w:pPr>
      <w:r>
        <w:t>OnOppositeOrder는 hedging, 양방향, grid 비활성이 필요합니다.</w:t>
      </w:r>
    </w:p>
    <w:p>
      <w:pPr>
        <w:pStyle w:val="ListBullet"/>
      </w:pPr>
      <w:r>
        <w:t>News backtest는 Common\Files CSV가 필요합니다.</w:t>
      </w:r>
    </w:p>
    <w:p>
      <w:pPr>
        <w:pStyle w:val="ListBullet"/>
      </w:pPr>
      <w:r>
        <w:t>일정은 브로커 서버 시간을 사용합니다.</w:t>
      </w:r>
    </w:p>
    <w:p>
      <w:pPr>
        <w:pStyle w:val="ListBullet"/>
      </w:pPr>
      <w:r>
        <w:t>브로커별 suffix와 심볼 사양을 확인합니다.</w:t>
      </w:r>
    </w:p>
    <w:p>
      <w:pPr>
        <w:pStyle w:val="Heading2"/>
      </w:pPr>
      <w:r>
        <w:rPr>
          <w:color w:val="1E3A5F"/>
        </w:rPr>
        <w:t>News filter and CSV workflow</w:t>
      </w:r>
    </w:p>
    <w:p>
      <w:r>
        <w:t>Live mode reads the MT5 Economic Calendar in broker-server time and blocks new entries if the calendar query fails. Backtests cannot read that live calendar: run MQL5\Scripts\White Rabbit News Exporter on a live/demo chart, cover the entire test interval, and write NewsCSVFile to the terminal Common\Files folder. The semicolon-delimited header is datetime;currency;importance;event_name, where importance 2 is moderate and 3 is high. Use the same broker/server timezone; for suffixed or non-FX symbols set ExportMoedas and NewsMoedasManual explicitly. Manual currencies take precedence over automatic symbol parsing.</w:t>
      </w:r>
    </w:p>
    <w:p>
      <w:pPr>
        <w:pStyle w:val="Heading2"/>
      </w:pPr>
      <w:r>
        <w:rPr>
          <w:color w:val="1E3A5F"/>
        </w:rPr>
        <w:t>Grid cycle and ATR spacing</w:t>
      </w:r>
    </w:p>
    <w:p>
      <w:r>
        <w:t>Every additional grid leg is measured from the newest already-confirmed position on that side and must satisfy ATR × DistanciaMinima. The initial order cannot recursively trigger another leg in the same calculation event; it becomes the anchor on the following cycle. Individual grid take-profits are disabled: Separate mode evaluates independent BUY/SELL cycles against frozen monetary targets and ends a side when it becomes flat; Unified evaluates the aggregate BUY+SELL basket and ends when both sides are flat. Realized commissions, swap, fees and stopped legs remain in the result while the corresponding cycle is open. The target triggers a close request, so actual exit costs and slippage can leave the final result slightly below it. Live cycle state is persisted across an EA restart. Grid is hedging-only and must be reoptimized after any EA, broker-contract or cost change.</w:t>
      </w:r>
    </w:p>
    <w:p>
      <w:pPr>
        <w:pStyle w:val="Heading2"/>
      </w:pPr>
      <w:r>
        <w:rPr>
          <w:color w:val="1E3A5F"/>
        </w:rPr>
        <w:t>Diagnostics and supplied utilities</w:t>
      </w:r>
    </w:p>
    <w:p>
      <w:r>
        <w:t>The Experts/Journal tab is authoritative for rejected inputs, OrderCheck failures, news-calendar errors and close retries. Compile and run MQL5\Scripts\WhiteRabbit Filters SelfTest; its final line must report zero failures. Use White Rabbit News Exporter to build the test CSV, then verify its date range, currencies, delimiter and Common\Files location before a news-enabled backtest.</w:t>
      </w:r>
    </w:p>
    <w:p>
      <w:pPr>
        <w:pStyle w:val="Heading2"/>
      </w:pPr>
      <w:r>
        <w:rPr>
          <w:color w:val="1E3A5F"/>
        </w:rPr>
        <w:t>위험 경고</w:t>
      </w:r>
    </w:p>
    <w:p>
      <w:r>
        <w:t>EA, set, 과거 결과는 미래 성과를 보장하지 않습니다. OOS와 demo로 검증하십시오.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