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Guide d'optimisation WFO</w:t>
      </w:r>
    </w:p>
    <w:p>
      <w:r>
        <w:t>Référence faisant autorité, générée depuis la source EA et le manifeste actuels — EA 1.11 — 127 inputs — 3738 sets</w:t>
      </w:r>
    </w:p>
    <w:p>
      <w:r>
        <w:t>Attention à la date. Avec le WFO activé, OnTester compare la fin réelle du test à input_end_date et renvoie zéro si le test s'est terminé plus tôt (tolérance de 80 heures). Une date erronée met toutes les passes à zéro et l'optimisation entière semble cassée. Réglez input_end_date sur la même date de fin que celle configurée dans le Testeur de Stratégies.</w:t>
      </w:r>
    </w:p>
    <w:p>
      <w:pPr>
        <w:pStyle w:val="Heading2"/>
      </w:pPr>
      <w:r>
        <w:rPr>
          <w:color w:val="1E3A5F"/>
        </w:rPr>
        <w:t>Périmètre et sources de vérité</w:t>
      </w:r>
    </w:p>
    <w:p>
      <w:r>
        <w:t>La source définit inputs, valeurs et fonctions ; le manifeste définit chaque set, statut, chemin et SHA-256. L'archive Quantum est uniquement historique.</w:t>
      </w:r>
    </w:p>
    <w:p>
      <w:r>
        <w:t>EA SHA-256: D85A30A0836A9BE75F6DFC55868BDC664EE1FC7F5DD0840C029DEB0EF8AC8973. Manifest SHA-256: E96B9E4050F8EA8B764E187BD6CC1E907AE2AE8C4A6489C9EF2D3317C6003F75.</w:t>
      </w:r>
    </w:p>
    <w:p>
      <w:r>
        <w:t>Document généré ; les identifiants correspondent exactement à l'EA.</w:t>
      </w:r>
    </w:p>
    <w:p>
      <w:pPr>
        <w:pStyle w:val="Heading2"/>
      </w:pPr>
      <w:r>
        <w:rPr>
          <w:color w:val="1E3A5F"/>
        </w:rPr>
        <w:t>Méthode walk-forward</w:t>
      </w:r>
    </w:p>
    <w:p>
      <w:r>
        <w:t>Utilisez IS, OOS et forward démo chronologiques avec spread, commission, swap et slippage réalistes.</w:t>
      </w:r>
    </w:p>
    <w:p>
      <w:pPr>
        <w:pStyle w:val="Heading2"/>
      </w:pPr>
      <w:r>
        <w:rPr>
          <w:color w:val="1E3A5F"/>
        </w:rPr>
        <w:t>Flux sûr</w:t>
      </w:r>
    </w:p>
    <w:p>
      <w:r>
        <w:t>Modifiez une matrice par étape et conservez les preuves.</w:t>
      </w:r>
    </w:p>
    <w:p>
      <w:pPr>
        <w:pStyle w:val="ListBullet"/>
      </w:pPr>
      <w:r>
        <w:t>Alignez les versions EX5, source, schéma set et manifeste.</w:t>
      </w:r>
    </w:p>
    <w:p>
      <w:pPr>
        <w:pStyle w:val="ListBullet"/>
      </w:pPr>
      <w:r>
        <w:t>Chargez la bibliothèque par Strategy Tester Inputs.</w:t>
      </w:r>
    </w:p>
    <w:p>
      <w:pPr>
        <w:pStyle w:val="ListBullet"/>
      </w:pPr>
      <w:r>
        <w:t>Mappez le symbole et le suffixe exacts.</w:t>
      </w:r>
    </w:p>
    <w:p>
      <w:pPr>
        <w:pStyle w:val="ListBullet"/>
      </w:pPr>
      <w:r>
        <w:t>Naviguez par classe et actif : chaque actif porte les 11 types de systeme (01_SLTP a 11_SIGNAL_ONLY), un set par sens (BUY/SELL ; BOTH pour le grid unifie) et deux variantes d'entree — MULTI met en concurrence les indicateurs 0–10 sur un seul axe, ICHIMOKU a son propre fichier.</w:t>
      </w:r>
    </w:p>
    <w:p>
      <w:pPr>
        <w:pStyle w:val="ListBullet"/>
      </w:pPr>
      <w:r>
        <w:t>La phase 1 est la decouverte de regions : lancez le genetique sur le set tel quel — groupe d'entree complet (indicateur, methode, timeframe, applied price, periodes), sorties du systeme et interrupteurs de filtres, tout a la fois.</w:t>
      </w:r>
    </w:p>
    <w:p>
      <w:pPr>
        <w:pStyle w:val="ListBullet"/>
      </w:pPr>
      <w:r>
        <w:t>Des les tours suivants, verrouillez (Y→N) les inputs « d'ecriture » — enums et booleens — decides par la phase precedente et ne laissez ouverts que les numeriques ; le reglage d'un filtre n'entre que si son interrupteur a survecu active.</w:t>
      </w:r>
    </w:p>
    <w:p>
      <w:pPr>
        <w:pStyle w:val="ListBullet"/>
      </w:pPr>
      <w:r>
        <w:t>Le filtre ATR d'entree (EntradaATR) n'existe que dans les systemes grid ; partout ailleurs il reste desactive par construction.</w:t>
      </w:r>
    </w:p>
    <w:p>
      <w:pPr>
        <w:pStyle w:val="ListBullet"/>
      </w:pPr>
      <w:r>
        <w:t>Validez le gagnant sur ticks reels : la divergence face a l'OHLC et la retention out-of-sample decident, jamais le profit in-sample.</w:t>
      </w:r>
    </w:p>
    <w:p>
      <w:pPr>
        <w:pStyle w:val="ListBullet"/>
      </w:pPr>
      <w:r>
        <w:t>Apres le tick reel, passez le dimensionnement en Percentage et relancez : ne promouvez que si cela passe aussi — et c'est dans ce mode que le set doit operer.</w:t>
      </w:r>
    </w:p>
    <w:p>
      <w:pPr>
        <w:pStyle w:val="Heading2"/>
      </w:pPr>
      <w:r>
        <w:rPr>
          <w:color w:val="1E3A5F"/>
        </w:rPr>
        <w:t>Statuts et décision</w:t>
      </w:r>
    </w:p>
    <w:p>
      <w:r>
        <w:t>Le statut exact est conservé et mappé prudemment vers USE, REOPTIMIZE, RESEARCH ou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Système</w:t>
            </w:r>
          </w:p>
        </w:tc>
        <w:tc>
          <w:tcPr>
            <w:tcW w:type="dxa" w:w="2880"/>
          </w:tcPr>
          <w:p>
            <w:r>
              <w:t>Gestion</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Cette section n'est pour l'instant disponible qu'en anglais.</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r>
        <w:t>C'est pourquoi le circuit n'enregistre un set approuve qu'apres avoir repete la passe finale en mode Percentage : si le resultat ne tient pas sous interets composes, il n'etait pas pret — et le set valide est livre dans ce mode.</w:t>
      </w:r>
    </w:p>
    <w:p>
      <w:pPr>
        <w:pStyle w:val="Heading2"/>
      </w:pPr>
      <w:r>
        <w:rPr>
          <w:color w:val="1E3A5F"/>
        </w:rPr>
        <w:t>Avertissement de risque</w:t>
      </w:r>
    </w:p>
    <w:p>
      <w:r>
        <w:t>Aucun EA, set ou historique ne garantit l'avenir. Validez OOS et en démo.</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