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Guide de l'écosystème de sets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Périmètre et sources de vérité</w:t>
      </w:r>
    </w:p>
    <w:p>
      <w:r>
        <w:t>La source définit inputs, valeurs et fonctions ; le manifeste définit chaque set, statut, chemin et SHA-256. L'archive Quantum est uniquement historique.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Document généré ; les identifiants correspondent exactement à l'EA.</w:t>
      </w:r>
    </w:p>
    <w:p>
      <w:pPr>
        <w:pStyle w:val="Heading2"/>
      </w:pPr>
      <w:r>
        <w:rPr>
          <w:color w:val="1E3A5F"/>
        </w:rPr>
        <w:t>Installation et premier test</w:t>
      </w:r>
    </w:p>
    <w:p>
      <w:r>
        <w:t>Installez l'EX5 correspondant, chargez un set dans Tester Inputs, choisissez le symbole exact et vérifiez le Journal.</w:t>
      </w:r>
    </w:p>
    <w:p>
      <w:pPr>
        <w:pStyle w:val="Heading2"/>
      </w:pPr>
      <w:r>
        <w:rPr>
          <w:color w:val="1E3A5F"/>
        </w:rPr>
        <w:t>Bibliothèque de sets détectée</w:t>
      </w:r>
    </w:p>
    <w:p>
      <w:r>
        <w:t>Les nombres viennent des fichiers et du manifeste. Chaque set est une hypothèse.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Statuts et décision</w:t>
      </w:r>
    </w:p>
    <w:p>
      <w:r>
        <w:t>Le statut exact est conservé et mappé prudemment vers USE, REOPTIMIZE, RESEARCH ou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Système</w:t>
            </w:r>
          </w:p>
        </w:tc>
        <w:tc>
          <w:tcPr>
            <w:tcW w:type="dxa" w:w="2880"/>
          </w:tcPr>
          <w:p>
            <w:r>
              <w:t>Gestion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Flux sûr</w:t>
      </w:r>
    </w:p>
    <w:p>
      <w:r>
        <w:t>Modifiez une matrice par étape et conservez les preuves.</w:t>
      </w:r>
    </w:p>
    <w:p>
      <w:pPr>
        <w:pStyle w:val="ListBullet"/>
      </w:pPr>
      <w:r>
        <w:t>Alignez les versions EX5, source, schéma set et manifeste.</w:t>
      </w:r>
    </w:p>
    <w:p>
      <w:pPr>
        <w:pStyle w:val="ListBullet"/>
      </w:pPr>
      <w:r>
        <w:t>Chargez la bibliothèque par Strategy Tester Inputs.</w:t>
      </w:r>
    </w:p>
    <w:p>
      <w:pPr>
        <w:pStyle w:val="ListBullet"/>
      </w:pPr>
      <w:r>
        <w:t>Mappez le symbole et le suffixe exacts.</w:t>
      </w:r>
    </w:p>
    <w:p>
      <w:pPr>
        <w:pStyle w:val="ListBullet"/>
      </w:pPr>
      <w:r>
        <w:t>Naviguez par classe et actif : chaque actif porte les 11 types de systeme (01_SLTP a 11_SIGNAL_ONLY), un set par sens (BUY/SELL ; BOTH pour le grid unifie) et deux variantes d'entree — MULTI met en concurrence les indicateurs 0–10 sur un seul axe, ICHIMOKU a son propre fichier.</w:t>
      </w:r>
    </w:p>
    <w:p>
      <w:pPr>
        <w:pStyle w:val="ListBullet"/>
      </w:pPr>
      <w:r>
        <w:t>La phase 1 est la decouverte de regions : lancez le genetique sur le set tel quel — groupe d'entree complet (indicateur, methode, timeframe, applied price, periodes), sorties du systeme et interrupteurs de filtres, tout a la fois.</w:t>
      </w:r>
    </w:p>
    <w:p>
      <w:pPr>
        <w:pStyle w:val="ListBullet"/>
      </w:pPr>
      <w:r>
        <w:t>Des les tours suivants, verrouillez (Y→N) les inputs « d'ecriture » — enums et booleens — decides par la phase precedente et ne laissez ouverts que les numeriques ; le reglage d'un filtre n'entre que si son interrupteur a survecu active.</w:t>
      </w:r>
    </w:p>
    <w:p>
      <w:pPr>
        <w:pStyle w:val="ListBullet"/>
      </w:pPr>
      <w:r>
        <w:t>Le filtre ATR d'entree (EntradaATR) n'existe que dans les systemes grid ; partout ailleurs il reste desactive par construction.</w:t>
      </w:r>
    </w:p>
    <w:p>
      <w:pPr>
        <w:pStyle w:val="ListBullet"/>
      </w:pPr>
      <w:r>
        <w:t>Validez le gagnant sur ticks reels : la divergence face a l'OHLC et la retention out-of-sample decident, jamais le profit in-sample.</w:t>
      </w:r>
    </w:p>
    <w:p>
      <w:pPr>
        <w:pStyle w:val="ListBullet"/>
      </w:pPr>
      <w:r>
        <w:t>Apres le tick reel, passez le dimensionnement en Percentage et relancez : ne promouvez que si cela passe aussi — et c'est dans ce mode que le set doit operer.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Compatibilité et restrictions</w:t>
      </w:r>
    </w:p>
    <w:p>
      <w:r>
        <w:t>Règles prudentes ; les limites plus strictes du courtier prévalent.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