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1E3A5F"/>
        </w:rPr>
        <w:t>White Rabbit X — Guida di ottimizzazione WFO</w:t>
      </w:r>
    </w:p>
    <w:p>
      <w:r>
        <w:t>Riferimento autorevole generato dalla fonte EA e dal manifesto correnti — EA 1.11 — 127 inputs — 3738 sets</w:t>
      </w:r>
    </w:p>
    <w:p>
      <w:r>
        <w:t>Attenzione alla data. Con il WFO attivo, OnTester confronta la fine reale del test con input_end_date e restituisce zero se il test è terminato prima (tolleranza di 80 ore). Una data sbagliata azzera tutte le passate e l'intera ottimizzazione sembra rotta. Imposta input_end_date sulla stessa data finale configurata nello Strategy Tester.</w:t>
      </w:r>
    </w:p>
    <w:p>
      <w:pPr>
        <w:pStyle w:val="Heading2"/>
      </w:pPr>
      <w:r>
        <w:rPr>
          <w:color w:val="1E3A5F"/>
        </w:rPr>
        <w:t>Ambito e fonti di verità</w:t>
      </w:r>
    </w:p>
    <w:p>
      <w:r>
        <w:t>La fonte definisce inputs, valori e funzioni; il manifesto definisce ogni set, stato, percorso e SHA-256. L'archivio Quantum è solo storico.</w:t>
      </w:r>
    </w:p>
    <w:p>
      <w:r>
        <w:t>EA SHA-256: D85A30A0836A9BE75F6DFC55868BDC664EE1FC7F5DD0840C029DEB0EF8AC8973. Manifest SHA-256: E96B9E4050F8EA8B764E187BD6CC1E907AE2AE8C4A6489C9EF2D3317C6003F75.</w:t>
      </w:r>
    </w:p>
    <w:p>
      <w:r>
        <w:t>Materiale generato; gli identificatori corrispondono esattamente all'EA.</w:t>
      </w:r>
    </w:p>
    <w:p>
      <w:pPr>
        <w:pStyle w:val="Heading2"/>
      </w:pPr>
      <w:r>
        <w:rPr>
          <w:color w:val="1E3A5F"/>
        </w:rPr>
        <w:t>Metodo walk-forward</w:t>
      </w:r>
    </w:p>
    <w:p>
      <w:r>
        <w:t>Usare IS, OOS e forward demo cronologici con spread, commissione, swap e slippage realistici.</w:t>
      </w:r>
    </w:p>
    <w:p>
      <w:pPr>
        <w:pStyle w:val="Heading2"/>
      </w:pPr>
      <w:r>
        <w:rPr>
          <w:color w:val="1E3A5F"/>
        </w:rPr>
        <w:t>Flusso sicuro</w:t>
      </w:r>
    </w:p>
    <w:p>
      <w:r>
        <w:t>Modificare una sola matrice per fase e conservare le prove.</w:t>
      </w:r>
    </w:p>
    <w:p>
      <w:pPr>
        <w:pStyle w:val="ListBullet"/>
      </w:pPr>
      <w:r>
        <w:t>Allineare EX5, fonte, schema set e manifesto.</w:t>
      </w:r>
    </w:p>
    <w:p>
      <w:pPr>
        <w:pStyle w:val="ListBullet"/>
      </w:pPr>
      <w:r>
        <w:t>Caricare la libreria tramite Strategy Tester Inputs.</w:t>
      </w:r>
    </w:p>
    <w:p>
      <w:pPr>
        <w:pStyle w:val="ListBullet"/>
      </w:pPr>
      <w:r>
        <w:t>Mappare simbolo e suffix esatti.</w:t>
      </w:r>
    </w:p>
    <w:p>
      <w:pPr>
        <w:pStyle w:val="ListBullet"/>
      </w:pPr>
      <w:r>
        <w:t>Navigate per classe e asset: ogni asset porta gli 11 tipi di sistema (01_SLTP a 11_SIGNAL_ONLY), un set per lato (BUY/SELL; BOTH per il grid unificato) e due varianti di ingresso — MULTI mette in gara gli indicatori 0–10 su un solo asse, ICHIMOKU ha un file dedicato.</w:t>
      </w:r>
    </w:p>
    <w:p>
      <w:pPr>
        <w:pStyle w:val="ListBullet"/>
      </w:pPr>
      <w:r>
        <w:t>La fase 1 e la scoperta delle regioni: lanciate il genetico sul set cosi com'e — gruppo di ingresso completo (indicatore, metodo, timeframe, applied price, periodi), uscite del sistema e interruttori dei filtri, tutto insieme.</w:t>
      </w:r>
    </w:p>
    <w:p>
      <w:pPr>
        <w:pStyle w:val="ListBullet"/>
      </w:pPr>
      <w:r>
        <w:t>Dai giri successivi, bloccate (Y→N) gli input 'di scrittura' — enum e booleani — decisi dalla fase precedente e lasciate aperti solo i numerici; la taratura di un filtro entra solo se il suo interruttore e sopravvissuto acceso.</w:t>
      </w:r>
    </w:p>
    <w:p>
      <w:pPr>
        <w:pStyle w:val="ListBullet"/>
      </w:pPr>
      <w:r>
        <w:t>Il filtro ATR di ingresso (EntradaATR) esiste solo nei sistemi grid; altrove resta spento per costruzione.</w:t>
      </w:r>
    </w:p>
    <w:p>
      <w:pPr>
        <w:pStyle w:val="ListBullet"/>
      </w:pPr>
      <w:r>
        <w:t>Validate il vincitore su tick reali: decidono la divergenza contro l'OHLC e la retention out-of-sample, mai il profitto in-sample.</w:t>
      </w:r>
    </w:p>
    <w:p>
      <w:pPr>
        <w:pStyle w:val="ListBullet"/>
      </w:pPr>
      <w:r>
        <w:t>Dopo il tick reale, passate il dimensionamento a Percentage e rilanciate: promuovete solo se passa anche questa — ed e in quel modo che il set deve operare.</w:t>
      </w:r>
    </w:p>
    <w:p>
      <w:pPr>
        <w:pStyle w:val="Heading2"/>
      </w:pPr>
      <w:r>
        <w:rPr>
          <w:color w:val="1E3A5F"/>
        </w:rPr>
        <w:t>Stati e decisione</w:t>
      </w:r>
    </w:p>
    <w:p>
      <w:r>
        <w:t>Lo stato esatto resta e viene mappato prudentemente in USE, REOPTIMIZE, RESEARCH o HOLD.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Sistema</w:t>
            </w:r>
          </w:p>
        </w:tc>
        <w:tc>
          <w:tcPr>
            <w:tcW w:type="dxa" w:w="2880"/>
          </w:tcPr>
          <w:p>
            <w:r>
              <w:t>Gestione</w:t>
            </w:r>
          </w:p>
        </w:tc>
        <w:tc>
          <w:tcPr>
            <w:tcW w:type="dxa" w:w="2880"/>
          </w:tcPr>
          <w:p>
            <w:r>
              <w:t>Set</w:t>
            </w:r>
          </w:p>
        </w:tc>
      </w:tr>
      <w:tr>
        <w:tc>
          <w:tcPr>
            <w:tcW w:type="dxa" w:w="2880"/>
          </w:tcPr>
          <w:p>
            <w:r>
              <w:t>01_SLTP</w:t>
            </w:r>
          </w:p>
        </w:tc>
        <w:tc>
          <w:tcPr>
            <w:tcW w:type="dxa" w:w="2880"/>
          </w:tcPr>
          <w:p>
            <w:r>
              <w:t>Stop Loss + Take Profit as ATR multiples</w:t>
            </w:r>
          </w:p>
        </w:tc>
        <w:tc>
          <w:tcPr>
            <w:tcW w:type="dxa" w:w="2880"/>
          </w:tcPr>
          <w:p>
            <w:r>
              <w:t>356</w:t>
            </w:r>
          </w:p>
        </w:tc>
      </w:tr>
      <w:tr>
        <w:tc>
          <w:tcPr>
            <w:tcW w:type="dxa" w:w="2880"/>
          </w:tcPr>
          <w:p>
            <w:r>
              <w:t>02_SLTP_ORGANIC</w:t>
            </w:r>
          </w:p>
        </w:tc>
        <w:tc>
          <w:tcPr>
            <w:tcW w:type="dxa" w:w="2880"/>
          </w:tcPr>
          <w:p>
            <w:r>
              <w:t>SL + organic take anchored on the last trade</w:t>
            </w:r>
          </w:p>
        </w:tc>
        <w:tc>
          <w:tcPr>
            <w:tcW w:type="dxa" w:w="2880"/>
          </w:tcPr>
          <w:p>
            <w:r>
              <w:t>356</w:t>
            </w:r>
          </w:p>
        </w:tc>
      </w:tr>
      <w:tr>
        <w:tc>
          <w:tcPr>
            <w:tcW w:type="dxa" w:w="2880"/>
          </w:tcPr>
          <w:p>
            <w:r>
              <w:t>03_TRAIL_ONLY</w:t>
            </w:r>
          </w:p>
        </w:tc>
        <w:tc>
          <w:tcPr>
            <w:tcW w:type="dxa" w:w="2880"/>
          </w:tcPr>
          <w:p>
            <w:r>
              <w:t>SL + trailing, no TP: let it run</w:t>
            </w:r>
          </w:p>
        </w:tc>
        <w:tc>
          <w:tcPr>
            <w:tcW w:type="dxa" w:w="2880"/>
          </w:tcPr>
          <w:p>
            <w:r>
              <w:t>356</w:t>
            </w:r>
          </w:p>
        </w:tc>
      </w:tr>
      <w:tr>
        <w:tc>
          <w:tcPr>
            <w:tcW w:type="dxa" w:w="2880"/>
          </w:tcPr>
          <w:p>
            <w:r>
              <w:t>04_SLTP_TRAIL</w:t>
            </w:r>
          </w:p>
        </w:tc>
        <w:tc>
          <w:tcPr>
            <w:tcW w:type="dxa" w:w="2880"/>
          </w:tcPr>
          <w:p>
            <w:r>
              <w:t>SL + TP + trailing behind</w:t>
            </w:r>
          </w:p>
        </w:tc>
        <w:tc>
          <w:tcPr>
            <w:tcW w:type="dxa" w:w="2880"/>
          </w:tcPr>
          <w:p>
            <w:r>
              <w:t>356</w:t>
            </w:r>
          </w:p>
        </w:tc>
      </w:tr>
      <w:tr>
        <w:tc>
          <w:tcPr>
            <w:tcW w:type="dxa" w:w="2880"/>
          </w:tcPr>
          <w:p>
            <w:r>
              <w:t>05_BE_TRAIL</w:t>
            </w:r>
          </w:p>
        </w:tc>
        <w:tc>
          <w:tcPr>
            <w:tcW w:type="dxa" w:w="2880"/>
          </w:tcPr>
          <w:p>
            <w:r>
              <w:t>Mandatory breakeven + trailing</w:t>
            </w:r>
          </w:p>
        </w:tc>
        <w:tc>
          <w:tcPr>
            <w:tcW w:type="dxa" w:w="2880"/>
          </w:tcPr>
          <w:p>
            <w:r>
              <w:t>356</w:t>
            </w:r>
          </w:p>
        </w:tc>
      </w:tr>
      <w:tr>
        <w:tc>
          <w:tcPr>
            <w:tcW w:type="dxa" w:w="2880"/>
          </w:tcPr>
          <w:p>
            <w:r>
              <w:t>06_REVERSAL_EXIT</w:t>
            </w:r>
          </w:p>
        </w:tc>
        <w:tc>
          <w:tcPr>
            <w:tcW w:type="dxa" w:w="2880"/>
          </w:tcPr>
          <w:p>
            <w:r>
              <w:t>Closes on the indicator's opposite signal</w:t>
            </w:r>
          </w:p>
        </w:tc>
        <w:tc>
          <w:tcPr>
            <w:tcW w:type="dxa" w:w="2880"/>
          </w:tcPr>
          <w:p>
            <w:r>
              <w:t>356</w:t>
            </w:r>
          </w:p>
        </w:tc>
      </w:tr>
      <w:tr>
        <w:tc>
          <w:tcPr>
            <w:tcW w:type="dxa" w:w="2880"/>
          </w:tcPr>
          <w:p>
            <w:r>
              <w:t>07_GRID_SEPARATE</w:t>
            </w:r>
          </w:p>
        </w:tc>
        <w:tc>
          <w:tcPr>
            <w:tcW w:type="dxa" w:w="2880"/>
          </w:tcPr>
          <w:p>
            <w:r>
              <w:t>Grid with a target per side (hedging account)</w:t>
            </w:r>
          </w:p>
        </w:tc>
        <w:tc>
          <w:tcPr>
            <w:tcW w:type="dxa" w:w="2880"/>
          </w:tcPr>
          <w:p>
            <w:r>
              <w:t>356</w:t>
            </w:r>
          </w:p>
        </w:tc>
      </w:tr>
      <w:tr>
        <w:tc>
          <w:tcPr>
            <w:tcW w:type="dxa" w:w="2880"/>
          </w:tcPr>
          <w:p>
            <w:r>
              <w:t>08_GRID_UNIFIED</w:t>
            </w:r>
          </w:p>
        </w:tc>
        <w:tc>
          <w:tcPr>
            <w:tcW w:type="dxa" w:w="2880"/>
          </w:tcPr>
          <w:p>
            <w:r>
              <w:t>Grid with a single basket target (hedging account)</w:t>
            </w:r>
          </w:p>
        </w:tc>
        <w:tc>
          <w:tcPr>
            <w:tcW w:type="dxa" w:w="2880"/>
          </w:tcPr>
          <w:p>
            <w:r>
              <w:t>356</w:t>
            </w:r>
          </w:p>
        </w:tc>
      </w:tr>
      <w:tr>
        <w:tc>
          <w:tcPr>
            <w:tcW w:type="dxa" w:w="2880"/>
          </w:tcPr>
          <w:p>
            <w:r>
              <w:t>09_MARTINGALE</w:t>
            </w:r>
          </w:p>
        </w:tc>
        <w:tc>
          <w:tcPr>
            <w:tcW w:type="dxa" w:w="2880"/>
          </w:tcPr>
          <w:p>
            <w:r>
              <w:t>Lot doubles after a loss, one position per side</w:t>
            </w:r>
          </w:p>
        </w:tc>
        <w:tc>
          <w:tcPr>
            <w:tcW w:type="dxa" w:w="2880"/>
          </w:tcPr>
          <w:p>
            <w:r>
              <w:t>356</w:t>
            </w:r>
          </w:p>
        </w:tc>
      </w:tr>
      <w:tr>
        <w:tc>
          <w:tcPr>
            <w:tcW w:type="dxa" w:w="2880"/>
          </w:tcPr>
          <w:p>
            <w:r>
              <w:t>10_DALEMBERT</w:t>
            </w:r>
          </w:p>
        </w:tc>
        <w:tc>
          <w:tcPr>
            <w:tcW w:type="dxa" w:w="2880"/>
          </w:tcPr>
          <w:p>
            <w:r>
              <w:t>Lot grows in arithmetic steps after a loss</w:t>
            </w:r>
          </w:p>
        </w:tc>
        <w:tc>
          <w:tcPr>
            <w:tcW w:type="dxa" w:w="2880"/>
          </w:tcPr>
          <w:p>
            <w:r>
              <w:t>356</w:t>
            </w:r>
          </w:p>
        </w:tc>
      </w:tr>
      <w:tr>
        <w:tc>
          <w:tcPr>
            <w:tcW w:type="dxa" w:w="2880"/>
          </w:tcPr>
          <w:p>
            <w:r>
              <w:t>11_SIGNAL_ONLY</w:t>
            </w:r>
          </w:p>
        </w:tc>
        <w:tc>
          <w:tcPr>
            <w:tcW w:type="dxa" w:w="2880"/>
          </w:tcPr>
          <w:p>
            <w:r>
              <w:t>No SL and no TP: measures the raw signal</w:t>
            </w:r>
          </w:p>
        </w:tc>
        <w:tc>
          <w:tcPr>
            <w:tcW w:type="dxa" w:w="2880"/>
          </w:tcPr>
          <w:p>
            <w:r>
              <w:t>356</w:t>
            </w:r>
          </w:p>
        </w:tc>
      </w:tr>
    </w:tbl>
    <w:p>
      <w:pPr>
        <w:ind w:left="360"/>
      </w:pPr>
      <w:r>
        <w:rPr>
          <w:i/>
        </w:rPr>
        <w:t>Questa sezione è per ora disponibile solo in inglese.</w:t>
      </w:r>
    </w:p>
    <w:p>
      <w:pPr>
        <w:pStyle w:val="Heading2"/>
      </w:pPr>
      <w:r>
        <w:rPr>
          <w:color w:val="1E3A5F"/>
        </w:rPr>
        <w:t>Modeling mode: use real ticks</w:t>
      </w:r>
    </w:p>
    <w:p>
      <w:r>
        <w:t>In the Strategy Tester's Settings tab, Modeling field:</w:t>
      </w:r>
    </w:p>
    <w:p>
      <w:r>
        <w:t>` Every tick based on real ticks   &lt;- use this OHLC 1 minute                    &lt;- only 01_SLTP and 02_SLTP_ORGANIC `</w:t>
      </w:r>
    </w:p>
    <w:p>
      <w:r>
        <w:t>This is not a preference. Measuring the same set in both modes across three years, the OHLC mode understated losses by 3.3x on trailing systems and 23x on grid — always in the optimistic direction. Only fixed SL/TP stayed within 3%.</w:t>
      </w:r>
    </w:p>
    <w:p>
      <w:r>
        <w:t>The cause is structural: trailing and grid depend on when price touched each level inside the bar. OHLC mode interpolates that from four prices per minute and smooths away exactly the adverse excursions that would have closed the position. Optimizing a trailing system on interpolated bars selects parameters that survived a price path which never happened.</w:t>
      </w:r>
    </w:p>
    <w:p>
      <w:r>
        <w:t>Real ticks cost roughly 20x more time per pass. It is worth it: that is the difference between a result and a number.</w:t>
      </w:r>
    </w:p>
    <w:p>
      <w:pPr>
        <w:pStyle w:val="Heading3"/>
      </w:pPr>
      <w:r>
        <w:rPr>
          <w:color w:val="1E3A5F"/>
        </w:rPr>
        <w:t>If you must save time, save it in the right place</w:t>
      </w:r>
    </w:p>
    <w:p>
      <w:r>
        <w:t>Signals are evaluated at BAR CLOSE, so choosing indicator, method or timeframe gives the same entry instant in both modes. Stop, target and trailing, on the other hand, depend on the intrabar path.</w:t>
      </w:r>
    </w:p>
    <w:p>
      <w:r>
        <w:t>So use each model where it is reliable: OHLC to narrow the switches (indicator, method, timeframe, periods) and real ticks for the exit geometry. With the signal locked the search space collapses by orders of magnitude, and real ticks stop being prohibitive.</w:t>
      </w:r>
    </w:p>
    <w:p>
      <w:pPr>
        <w:pStyle w:val="Heading2"/>
      </w:pPr>
      <w:r>
        <w:rPr>
          <w:color w:val="1E3A5F"/>
        </w:rPr>
        <w:t>Fixed-R to research, percentage to trade</w:t>
      </w:r>
    </w:p>
    <w:p>
      <w:r>
        <w:t>Optimize in Fixed-R: with the base capital frozen, passes stay comparable to each other and across symbols. +40R on gold and +40R on EURUSD mean the same thing, while "+3,200 USD" means nothing without knowing the lot and the balance.</w:t>
      </w:r>
    </w:p>
    <w:p>
      <w:r>
        <w:t>Live, Percentage usually makes more sense: it tracks the account, compounds as it grows and cuts exposure as it shrinks — protection Fixed-R cannot give, because it deliberately ignores the running balance. Both modes report in R, so the record stays readable after the switch.</w:t>
      </w:r>
    </w:p>
    <w:p>
      <w:r>
        <w:t>Per questo il circuito salva un set approvato solo dopo aver ripetuto il passaggio finale in modalita Percentage: se il risultato non regge sotto interesse composto, non era pronto — e il set validato viene consegnato in quella modalita.</w:t>
      </w:r>
    </w:p>
    <w:p>
      <w:pPr>
        <w:pStyle w:val="Heading2"/>
      </w:pPr>
      <w:r>
        <w:rPr>
          <w:color w:val="1E3A5F"/>
        </w:rPr>
        <w:t>Avviso di rischio</w:t>
      </w:r>
    </w:p>
    <w:p>
      <w:r>
        <w:t>Nessun EA, set o storico garantisce il futuro. Validare OOS e demo.</w:t>
      </w:r>
    </w:p>
    <w:p>
      <w:pPr>
        <w:jc w:val="center"/>
      </w:pPr>
      <w:r>
        <w:t>____________________________________________________________</w:t>
      </w:r>
    </w:p>
    <w:p>
      <w:r>
        <w:t>EA SHA-256: D85A30A0836A9BE75F6DFC55868BDC664EE1FC7F5DD0840C029DEB0EF8AC8973 EA version: 1.12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