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Guida all'ecosistema dei set</w:t>
      </w:r>
    </w:p>
    <w:p>
      <w:r>
        <w:t>Riferimento autorevole generato dalla fonte EA e dal manifesto correnti — EA 1.11 — 127 inputs — 3738 sets</w:t>
      </w:r>
    </w:p>
    <w:p>
      <w:pPr>
        <w:pStyle w:val="Heading2"/>
      </w:pPr>
      <w:r>
        <w:rPr>
          <w:color w:val="1E3A5F"/>
        </w:rPr>
        <w:t>Ambito e fonti di verità</w:t>
      </w:r>
    </w:p>
    <w:p>
      <w:r>
        <w:t>La fonte definisce inputs, valori e funzioni; il manifesto definisce ogni set, stato, percorso e SHA-256. L'archivio Quantum è solo storico.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Materiale generato; gli identificatori corrispondono esattamente all'EA.</w:t>
      </w:r>
    </w:p>
    <w:p>
      <w:pPr>
        <w:pStyle w:val="Heading2"/>
      </w:pPr>
      <w:r>
        <w:rPr>
          <w:color w:val="1E3A5F"/>
        </w:rPr>
        <w:t>Installazione e primo test</w:t>
      </w:r>
    </w:p>
    <w:p>
      <w:r>
        <w:t>Installare l'EX5 corretto, caricare un set in Tester Inputs, scegliere il simbolo esatto e controllare il Journal.</w:t>
      </w:r>
    </w:p>
    <w:p>
      <w:pPr>
        <w:pStyle w:val="Heading2"/>
      </w:pPr>
      <w:r>
        <w:rPr>
          <w:color w:val="1E3A5F"/>
        </w:rPr>
        <w:t>Libreria set rilevata</w:t>
      </w:r>
    </w:p>
    <w:p>
      <w:r>
        <w:t>I conteggi provengono da file e manifesto. Ogni set è un'ipotesi. Counts and fingerprints were read at generation time.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Folder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01_Forex</w:t>
            </w:r>
          </w:p>
        </w:tc>
        <w:tc>
          <w:tcPr>
            <w:tcW w:type="dxa" w:w="2880"/>
          </w:tcPr>
          <w:p>
            <w:r>
              <w:t>168</w:t>
            </w:r>
          </w:p>
        </w:tc>
        <w:tc>
          <w:tcPr>
            <w:tcW w:type="dxa" w:w="2880"/>
          </w:tcPr>
          <w:p>
            <w:r>
              <w:t>Per-asset baselines — Forex.</w:t>
            </w:r>
          </w:p>
        </w:tc>
      </w:tr>
      <w:tr>
        <w:tc>
          <w:tcPr>
            <w:tcW w:type="dxa" w:w="2880"/>
          </w:tcPr>
          <w:p>
            <w:r>
              <w:t>02_Metals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Per-asset baselines — Metals.</w:t>
            </w:r>
          </w:p>
        </w:tc>
      </w:tr>
      <w:tr>
        <w:tc>
          <w:tcPr>
            <w:tcW w:type="dxa" w:w="2880"/>
          </w:tcPr>
          <w:p>
            <w:r>
              <w:t>03_Cryptocurrencies</w:t>
            </w:r>
          </w:p>
        </w:tc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Per-asset baselines — Cryptocurrencies.</w:t>
            </w:r>
          </w:p>
        </w:tc>
      </w:tr>
      <w:tr>
        <w:tc>
          <w:tcPr>
            <w:tcW w:type="dxa" w:w="2880"/>
          </w:tcPr>
          <w:p>
            <w:r>
              <w:t>04_Indices_Energies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Per-asset baselines — Indices Energies.</w:t>
            </w:r>
          </w:p>
        </w:tc>
      </w:tr>
      <w:tr>
        <w:tc>
          <w:tcPr>
            <w:tcW w:type="dxa" w:w="2880"/>
          </w:tcPr>
          <w:p>
            <w:r>
              <w:t>05_US_Stocks_CFD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Per-asset baselines — US Stocks CFD.</w:t>
            </w:r>
          </w:p>
        </w:tc>
      </w:tr>
      <w:tr>
        <w:tc>
          <w:tcPr>
            <w:tcW w:type="dxa" w:w="2880"/>
          </w:tcPr>
          <w:p>
            <w:r>
              <w:t>06_Research_Matrix</w:t>
            </w:r>
          </w:p>
        </w:tc>
        <w:tc>
          <w:tcPr>
            <w:tcW w:type="dxa" w:w="2880"/>
          </w:tcPr>
          <w:p>
            <w:r>
              <w:t>935</w:t>
            </w:r>
          </w:p>
        </w:tc>
        <w:tc>
          <w:tcPr>
            <w:tcW w:type="dxa" w:w="2880"/>
          </w:tcPr>
          <w:p>
            <w:r>
              <w:t>Controlled one-axis research.</w:t>
            </w:r>
          </w:p>
        </w:tc>
      </w:tr>
      <w:tr>
        <w:tc>
          <w:tcPr>
            <w:tcW w:type="dxa" w:w="2880"/>
          </w:tcPr>
          <w:p>
            <w:r>
              <w:t>07_Entry_System_Matrix</w:t>
            </w:r>
          </w:p>
        </w:tc>
        <w:tc>
          <w:tcPr>
            <w:tcW w:type="dxa" w:w="2880"/>
          </w:tcPr>
          <w:p>
            <w:r>
              <w:t>3360</w:t>
            </w:r>
          </w:p>
        </w:tc>
        <w:tc>
          <w:tcPr>
            <w:tcW w:type="dxa" w:w="2880"/>
          </w:tcPr>
          <w:p>
            <w:r>
              <w:t>Indicator × entry method × management matrix.</w:t>
            </w:r>
          </w:p>
        </w:tc>
      </w:tr>
      <w:tr>
        <w:tc>
          <w:tcPr>
            <w:tcW w:type="dxa" w:w="2880"/>
          </w:tcPr>
          <w:p>
            <w:r>
              <w:t>08_Filter_Stack_Matrix</w:t>
            </w:r>
          </w:p>
        </w:tc>
        <w:tc>
          <w:tcPr>
            <w:tcW w:type="dxa" w:w="2880"/>
          </w:tcPr>
          <w:p>
            <w:r>
              <w:t>320</w:t>
            </w:r>
          </w:p>
        </w:tc>
        <w:tc>
          <w:tcPr>
            <w:tcW w:type="dxa" w:w="2880"/>
          </w:tcPr>
          <w:p>
            <w:r>
              <w:t>Signal-filter stack combinations.</w:t>
            </w:r>
          </w:p>
        </w:tc>
      </w:tr>
      <w:tr>
        <w:tc>
          <w:tcPr>
            <w:tcW w:type="dxa" w:w="2880"/>
          </w:tcPr>
          <w:p>
            <w:r>
              <w:t>09_Risk_Engine_Matrix</w:t>
            </w:r>
          </w:p>
        </w:tc>
        <w:tc>
          <w:tcPr>
            <w:tcW w:type="dxa" w:w="2880"/>
          </w:tcPr>
          <w:p>
            <w:r>
              <w:t>130</w:t>
            </w:r>
          </w:p>
        </w:tc>
        <w:tc>
          <w:tcPr>
            <w:tcW w:type="dxa" w:w="2880"/>
          </w:tcPr>
          <w:p>
            <w:r>
              <w:t>Compatible sizing, risk and recovery models.</w:t>
            </w:r>
          </w:p>
        </w:tc>
      </w:tr>
      <w:tr>
        <w:tc>
          <w:tcPr>
            <w:tcW w:type="dxa" w:w="2880"/>
          </w:tcPr>
          <w:p>
            <w:r>
              <w:t>10_Exit_Stack_Matrix</w:t>
            </w:r>
          </w:p>
        </w:tc>
        <w:tc>
          <w:tcPr>
            <w:tcW w:type="dxa" w:w="2880"/>
          </w:tcPr>
          <w:p>
            <w:r>
              <w:t>720</w:t>
            </w:r>
          </w:p>
        </w:tc>
        <w:tc>
          <w:tcPr>
            <w:tcW w:type="dxa" w:w="2880"/>
          </w:tcPr>
          <w:p>
            <w:r>
              <w:t>Exit-control stack combinations.</w:t>
            </w:r>
          </w:p>
        </w:tc>
      </w:tr>
    </w:tbl>
    <w:p>
      <w:pPr>
        <w:pStyle w:val="Heading2"/>
      </w:pPr>
      <w:r>
        <w:rPr>
          <w:color w:val="1E3A5F"/>
        </w:rPr>
        <w:t>Stati e decisione</w:t>
      </w:r>
    </w:p>
    <w:p>
      <w:r>
        <w:t>Lo stato esatto resta e viene mappato prudentemente in USE, REOPTIMIZE, RESEARCH o HOLD.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Sistema</w:t>
            </w:r>
          </w:p>
        </w:tc>
        <w:tc>
          <w:tcPr>
            <w:tcW w:type="dxa" w:w="2880"/>
          </w:tcPr>
          <w:p>
            <w:r>
              <w:t>Gestione</w:t>
            </w:r>
          </w:p>
        </w:tc>
        <w:tc>
          <w:tcPr>
            <w:tcW w:type="dxa" w:w="2880"/>
          </w:tcPr>
          <w:p>
            <w:r>
              <w:t>Set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Flusso sicuro</w:t>
      </w:r>
    </w:p>
    <w:p>
      <w:r>
        <w:t>Modificare una sola matrice per fase e conservare le prove.</w:t>
      </w:r>
    </w:p>
    <w:p>
      <w:pPr>
        <w:pStyle w:val="ListBullet"/>
      </w:pPr>
      <w:r>
        <w:t>Allineare EX5, fonte, schema set e manifesto.</w:t>
      </w:r>
    </w:p>
    <w:p>
      <w:pPr>
        <w:pStyle w:val="ListBullet"/>
      </w:pPr>
      <w:r>
        <w:t>Caricare la libreria tramite Strategy Tester Inputs.</w:t>
      </w:r>
    </w:p>
    <w:p>
      <w:pPr>
        <w:pStyle w:val="ListBullet"/>
      </w:pPr>
      <w:r>
        <w:t>Mappare simbolo e suffix esatti.</w:t>
      </w:r>
    </w:p>
    <w:p>
      <w:pPr>
        <w:pStyle w:val="ListBullet"/>
      </w:pPr>
      <w:r>
        <w:t>Navigate per classe e asset: ogni asset porta gli 11 tipi di sistema (01_SLTP a 11_SIGNAL_ONLY), un set per lato (BUY/SELL; BOTH per il grid unificato) e due varianti di ingresso — MULTI mette in gara gli indicatori 0–10 su un solo asse, ICHIMOKU ha un file dedicato.</w:t>
      </w:r>
    </w:p>
    <w:p>
      <w:pPr>
        <w:pStyle w:val="ListBullet"/>
      </w:pPr>
      <w:r>
        <w:t>La fase 1 e la scoperta delle regioni: lanciate il genetico sul set cosi com'e — gruppo di ingresso completo (indicatore, metodo, timeframe, applied price, periodi), uscite del sistema e interruttori dei filtri, tutto insieme.</w:t>
      </w:r>
    </w:p>
    <w:p>
      <w:pPr>
        <w:pStyle w:val="ListBullet"/>
      </w:pPr>
      <w:r>
        <w:t>Dai giri successivi, bloccate (Y→N) gli input 'di scrittura' — enum e booleani — decisi dalla fase precedente e lasciate aperti solo i numerici; la taratura di un filtro entra solo se il suo interruttore e sopravvissuto acceso.</w:t>
      </w:r>
    </w:p>
    <w:p>
      <w:pPr>
        <w:pStyle w:val="ListBullet"/>
      </w:pPr>
      <w:r>
        <w:t>Il filtro ATR di ingresso (EntradaATR) esiste solo nei sistemi grid; altrove resta spento per costruzione.</w:t>
      </w:r>
    </w:p>
    <w:p>
      <w:pPr>
        <w:pStyle w:val="ListBullet"/>
      </w:pPr>
      <w:r>
        <w:t>Validate il vincitore su tick reali: decidono la divergenza contro l'OHLC e la retention out-of-sample, mai il profitto in-sample.</w:t>
      </w:r>
    </w:p>
    <w:p>
      <w:pPr>
        <w:pStyle w:val="ListBullet"/>
      </w:pPr>
      <w:r>
        <w:t>Dopo il tick reale, passate il dimensionamento a Percentage e rilanciate: promuovete solo se passa anche questa — ed e in quel modo che il set deve operare.</w:t>
      </w:r>
    </w:p>
    <w:p>
      <w:pPr>
        <w:pStyle w:val="Heading2"/>
      </w:pPr>
      <w:r>
        <w:rPr>
          <w:color w:val="1E3A5F"/>
        </w:rPr>
        <w:t>Telemetria dei cicli nel dashboard</w:t>
      </w:r>
    </w:p>
    <w:p>
      <w:r>
        <w:t>Il pannello usa gli stessi snapshot del calcolo lotti e della chiusura basket.</w:t>
      </w:r>
    </w:p>
    <w:p>
      <w:pPr>
        <w:pStyle w:val="ListBullet"/>
      </w:pPr>
      <w:r>
        <w:t>L'aggiornamento periodico per tick è limitato a una volta al secondo; inizializzazione ed eventi trade possono aggiornare subito.</w:t>
      </w:r>
    </w:p>
    <w:p>
      <w:pPr>
        <w:pStyle w:val="ListBullet"/>
      </w:pPr>
      <w:r>
        <w:t>Balance ed Equity riguardano l'intero conto. Closed P&amp;L è la variazione da OnInit; Open P&amp;L e posizioni sono attuali e filtrati per Symbol + Magic.</w:t>
      </w:r>
    </w:p>
    <w:p>
      <w:pPr>
        <w:pStyle w:val="ListBullet"/>
      </w:pPr>
      <w:r>
        <w:t>Martingale mostra per BUY/SELL perdite consecutive, numero e importo lordo delle perdite, recovered, deficit e target = deficit × Multiplicador.</w:t>
      </w:r>
    </w:p>
    <w:p>
      <w:pPr>
        <w:pStyle w:val="ListBullet"/>
      </w:pPr>
      <w:r>
        <w:t>Superare MaxMartingaleSteps esegue hard reset: elimina il vecchio deficit e il prossimo ordine usa base lot. Massimo una posizione aperta per lato.</w:t>
      </w:r>
    </w:p>
    <w:p>
      <w:pPr>
        <w:pStyle w:val="ListBullet"/>
      </w:pPr>
      <w:r>
        <w:t>D'Alembert mostra livello corrente e prossimo lotto normalizzato BUY/SELL.</w:t>
      </w:r>
    </w:p>
    <w:p>
      <w:pPr>
        <w:pStyle w:val="ListBullet"/>
      </w:pPr>
      <w:r>
        <w:t>Grid mostra legs/volume, realized con costi, open P&amp;L, cycle P&amp;L, target congelato all'avvio e remaining.</w:t>
      </w:r>
    </w:p>
    <w:p>
      <w:pPr>
        <w:pStyle w:val="ListBullet"/>
      </w:pPr>
      <w:r>
        <w:t>Anchor è la posizione confermata più recente. BUY richiede strettamente meno di anchor − ATR × DistanciaMinima, SELL strettamente più; avanzamento in ATR.</w:t>
      </w:r>
    </w:p>
    <w:p>
      <w:pPr>
        <w:pStyle w:val="ListBullet"/>
      </w:pPr>
      <w:r>
        <w:t>Separate termina solo il ciclo del lato flat; Unified termina quando entrambi sono flat. Ordini in corso ritardano il reset.</w:t>
      </w:r>
    </w:p>
    <w:p>
      <w:pPr>
        <w:pStyle w:val="ListBullet"/>
      </w:pPr>
      <w:r>
        <w:t>Target avvia la richiesta di chiusura; commissioni, fee e slippage di uscita possono lasciare il risultato finale leggermente inferiore.</w:t>
      </w:r>
    </w:p>
    <w:p>
      <w:pPr>
        <w:pStyle w:val="ListBullet"/>
      </w:pPr>
      <w:r>
        <w:t>InterfaceLanguage mantiene 11 lingue. Auto usa English nel Tester e la lingua terminale live; label non tradotte tornano a English.</w:t>
      </w:r>
    </w:p>
    <w:p>
      <w:pPr>
        <w:pStyle w:val="Heading2"/>
      </w:pPr>
      <w:r>
        <w:rPr>
          <w:color w:val="1E3A5F"/>
        </w:rPr>
        <w:t>Compatibilità e limiti</w:t>
      </w:r>
    </w:p>
    <w:p>
      <w:r>
        <w:t>Regole prudenti; prevalgono limiti broker più rigidi.</w:t>
      </w:r>
    </w:p>
    <w:p>
      <w:pPr>
        <w:pStyle w:val="ListBullet"/>
      </w:pPr>
      <w:r>
        <w:t>Percentage e Fixed-R richiedono AtivarStop=true.</w:t>
      </w:r>
    </w:p>
    <w:p>
      <w:pPr>
        <w:pStyle w:val="ListBullet"/>
      </w:pPr>
      <w:r>
        <w:t>Grid solo Monetary/Fixed Lot, Recovery_None e conto hedging.</w:t>
      </w:r>
    </w:p>
    <w:p>
      <w:pPr>
        <w:pStyle w:val="ListBullet"/>
      </w:pPr>
      <w:r>
        <w:t>Grid richiede take, DistanciaMinima positivo e limite almeno due.</w:t>
      </w:r>
    </w:p>
    <w:p>
      <w:pPr>
        <w:pStyle w:val="ListBullet"/>
      </w:pPr>
      <w:r>
        <w:t>Finché il basket resta aperto, perdite realizzate, swap, commissioni e costi del ciclo restano inclusi nel risultato necessario al target; il profitto isolato di una gamba non li cancella.</w:t>
      </w:r>
    </w:p>
    <w:p>
      <w:pPr>
        <w:pStyle w:val="ListBullet"/>
      </w:pPr>
      <w:r>
        <w:t>In Grid_SeparateProfit i cicli BUY e SELL sono indipendenti. Se spariscono tutte le posizioni di un lato, quel ciclo termina; un ingresso successivo riparte senza riportare il deficit chiuso.</w:t>
      </w:r>
    </w:p>
    <w:p>
      <w:pPr>
        <w:pStyle w:val="ListBullet"/>
      </w:pPr>
      <w:r>
        <w:t>D'Alembert solo Fixed Lot, Grid_Disabled e DAlembertStep&gt;0.</w:t>
      </w:r>
    </w:p>
    <w:p>
      <w:pPr>
        <w:pStyle w:val="ListBullet"/>
      </w:pPr>
      <w:r>
        <w:t>Martingale rispetta MaxMartingaleSteps e MaxMartingaleLot.</w:t>
      </w:r>
    </w:p>
    <w:p>
      <w:pPr>
        <w:pStyle w:val="ListBullet"/>
      </w:pPr>
      <w:r>
        <w:t>OnOppositeOrder richiede hedging, entrambi i lati e grid spento.</w:t>
      </w:r>
    </w:p>
    <w:p>
      <w:pPr>
        <w:pStyle w:val="ListBullet"/>
      </w:pPr>
      <w:r>
        <w:t>Backtest news richiede CSV in Common\Files.</w:t>
      </w:r>
    </w:p>
    <w:p>
      <w:pPr>
        <w:pStyle w:val="ListBullet"/>
      </w:pPr>
      <w:r>
        <w:t>Gli orari usano l'ora server.</w:t>
      </w:r>
    </w:p>
    <w:p>
      <w:pPr>
        <w:pStyle w:val="ListBullet"/>
      </w:pPr>
      <w:r>
        <w:t>Validare suffix e specifiche per ogni broker.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Avviso di rischio</w:t>
      </w:r>
    </w:p>
    <w:p>
      <w:r>
        <w:t>Nessun EA, set o storico garantisce il futuro. Validare OOS e demo.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