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WFO Optimizasyon Kılavuzu</w:t>
      </w:r>
    </w:p>
    <w:p>
      <w:r>
        <w:t>Güncel EA kaynağı ve set manifestosundan üretilen yetkili referans — EA 1.11 — 127 inputs — 3738 sets</w:t>
      </w:r>
    </w:p>
    <w:p>
      <w:r>
        <w:t>Tarihe dikkat. WFO açıkken OnTester, testin gerçek bitişini input_end_date ile karşılaştırır ve test daha erken bittiyse sıfır döndürür (80 saatlik tolerans). Yanlış tarih tüm geçişleri sıfırlar ve optimizasyonun tamamı bozulmuş gibi görünür. input_end_date değerini Strateji Test Cihazında ayarladığınız bitiş tarihiyle aynı yapın.</w:t>
      </w:r>
    </w:p>
    <w:p>
      <w:pPr>
        <w:pStyle w:val="Heading2"/>
      </w:pPr>
      <w:r>
        <w:rPr>
          <w:color w:val="1E3A5F"/>
        </w:rPr>
        <w:t>Kapsam ve doğruluk kaynakları</w:t>
      </w:r>
    </w:p>
    <w:p>
      <w:r>
        <w:t>EA kaynağı inputs, varsayılanlar ve özellikleri; manifesto her set, durum, yol ve SHA-256 değerini tanımlar. Eski Quantum arşivi yalnızca tarihseldir.</w:t>
      </w:r>
    </w:p>
    <w:p>
      <w:r>
        <w:t>EA SHA-256: D85A30A0836A9BE75F6DFC55868BDC664EE1FC7F5DD0840C029DEB0EF8AC8973. Manifest SHA-256: E96B9E4050F8EA8B764E187BD6CC1E907AE2AE8C4A6489C9EF2D3317C6003F75.</w:t>
      </w:r>
    </w:p>
    <w:p>
      <w:r>
        <w:t>Üretilmiş belgedir; parametre adları EA ile tam olarak aynıdır.</w:t>
      </w:r>
    </w:p>
    <w:p>
      <w:pPr>
        <w:pStyle w:val="Heading2"/>
      </w:pPr>
      <w:r>
        <w:rPr>
          <w:color w:val="1E3A5F"/>
        </w:rPr>
        <w:t>Walk-forward yöntemi</w:t>
      </w:r>
    </w:p>
    <w:p>
      <w:r>
        <w:t>Gerçekçi spread, komisyon, swap ve slippage ile kronolojik IS, OOS ve forward demo kullanın.</w:t>
      </w:r>
    </w:p>
    <w:p>
      <w:pPr>
        <w:pStyle w:val="Heading2"/>
      </w:pPr>
      <w:r>
        <w:rPr>
          <w:color w:val="1E3A5F"/>
        </w:rPr>
        <w:t>Güvenli akış</w:t>
      </w:r>
    </w:p>
    <w:p>
      <w:r>
        <w:t>Her aşamada tek matris değiştirin ve kanıtları saklayın.</w:t>
      </w:r>
    </w:p>
    <w:p>
      <w:pPr>
        <w:pStyle w:val="ListBullet"/>
      </w:pPr>
      <w:r>
        <w:t>EX5, kaynak, set şeması ve manifesto sürümünü eşleştirin.</w:t>
      </w:r>
    </w:p>
    <w:p>
      <w:pPr>
        <w:pStyle w:val="ListBullet"/>
      </w:pPr>
      <w:r>
        <w:t>Kütüphaneyi Strategy Tester Inputs ile yükleyin.</w:t>
      </w:r>
    </w:p>
    <w:p>
      <w:pPr>
        <w:pStyle w:val="ListBullet"/>
      </w:pPr>
      <w:r>
        <w:t>Broker'ın tam sembol ve suffix değerini eşleyin.</w:t>
      </w:r>
    </w:p>
    <w:p>
      <w:pPr>
        <w:pStyle w:val="ListBullet"/>
      </w:pPr>
      <w:r>
        <w:t>Sinif ve enstrumana gore gezinin: her enstruman 11 sistem tipini tasir (01_SLTP'den 11_SIGNAL_ONLY'ye), yon basina bir set (BUY/SELL; birlesik grid icin BOTH) ve iki giris varyanti — MULTI, 0–10 gostergelerini tek eksende yaristirir, ICHIMOKU'nun kendi dosyasi vardir.</w:t>
      </w:r>
    </w:p>
    <w:p>
      <w:pPr>
        <w:pStyle w:val="ListBullet"/>
      </w:pPr>
      <w:r>
        <w:t>Faz 1 bolge kesfidir: genetigi set oldugu gibi calistirin — tam giris grubu (gosterge, yontem, zaman dilimi, applied price, periyotlar), sistemin cikislari ve filtre anahtarlari, hepsi bir arada.</w:t>
      </w:r>
    </w:p>
    <w:p>
      <w:pPr>
        <w:pStyle w:val="ListBullet"/>
      </w:pPr>
      <w:r>
        <w:t>Sonraki turlardan itibaren onceki fazda kararlastirilan 'yazi' girdilerini — enum ve boolean — Y→N ile kilitleyin ve yalnizca sayisallari acik birakin; bir filtrenin ayari ancak anahtari acik hayatta kaldiysa girer.</w:t>
      </w:r>
    </w:p>
    <w:p>
      <w:pPr>
        <w:pStyle w:val="ListBullet"/>
      </w:pPr>
      <w:r>
        <w:t>ATR giris filtresi (EntradaATR) yalnizca grid sistemlerinde vardir; digerlerinde tasarim geregi kapali kalir.</w:t>
      </w:r>
    </w:p>
    <w:p>
      <w:pPr>
        <w:pStyle w:val="ListBullet"/>
      </w:pPr>
      <w:r>
        <w:t>Kazanani gercek tiklerle dogrulayin: OHLC'ye karsi sapma ve out-of-sample tutma karar verir, asla in-sample kar degil.</w:t>
      </w:r>
    </w:p>
    <w:p>
      <w:pPr>
        <w:pStyle w:val="ListBullet"/>
      </w:pPr>
      <w:r>
        <w:t>Gercek tikten sonra pozisyon boyutlandirmayi Percentage'a cevirip yeniden kosun: ancak o da gecerse terfi ettirin — set zaten o modda islem yapmalidir.</w:t>
      </w:r>
    </w:p>
    <w:p>
      <w:pPr>
        <w:pStyle w:val="Heading2"/>
      </w:pPr>
      <w:r>
        <w:rPr>
          <w:color w:val="1E3A5F"/>
        </w:rPr>
        <w:t>Durumlar ve karar</w:t>
      </w:r>
    </w:p>
    <w:p>
      <w:r>
        <w:t>Asıl durum korunur ve USE, REOPTIMIZE, RESEARCH veya HOLD olarak temkinli eşlenir.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Sistem</w:t>
            </w:r>
          </w:p>
        </w:tc>
        <w:tc>
          <w:tcPr>
            <w:tcW w:type="dxa" w:w="2880"/>
          </w:tcPr>
          <w:p>
            <w:r>
              <w:t>Yönetim</w:t>
            </w:r>
          </w:p>
        </w:tc>
        <w:tc>
          <w:tcPr>
            <w:tcW w:type="dxa" w:w="2880"/>
          </w:tcPr>
          <w:p>
            <w:r>
              <w:t>Set</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ind w:left="360"/>
      </w:pPr>
      <w:r>
        <w:rPr>
          <w:i/>
        </w:rPr>
        <w:t>Bu bölüm şimdilik yalnızca İngilizce olarak mevcuttur.</w:t>
      </w:r>
    </w:p>
    <w:p>
      <w:pPr>
        <w:pStyle w:val="Heading2"/>
      </w:pPr>
      <w:r>
        <w:rPr>
          <w:color w:val="1E3A5F"/>
        </w:rPr>
        <w:t>Modeling mode: use real ticks</w:t>
      </w:r>
    </w:p>
    <w:p>
      <w:r>
        <w:t>In the Strategy Tester's Settings tab, Modeling field:</w:t>
      </w:r>
    </w:p>
    <w:p>
      <w:r>
        <w:t>` Every tick based on real ticks   &lt;- use this OHLC 1 minute                    &lt;- only 01_SLTP and 02_SLTP_ORGANIC `</w:t>
      </w:r>
    </w:p>
    <w:p>
      <w:r>
        <w:t>This is not a preference. Measuring the same set in both modes across three years, the OHLC mode understated losses by 3.3x on trailing systems and 23x on grid — always in the optimistic direction. Only fixed SL/TP stayed within 3%.</w:t>
      </w:r>
    </w:p>
    <w:p>
      <w:r>
        <w:t>The cause is structural: trailing and grid depend on when price touched each level inside the bar. OHLC mode interpolates that from four prices per minute and smooths away exactly the adverse excursions that would have closed the position. Optimizing a trailing system on interpolated bars selects parameters that survived a price path which never happened.</w:t>
      </w:r>
    </w:p>
    <w:p>
      <w:r>
        <w:t>Real ticks cost roughly 20x more time per pass. It is worth it: that is the difference between a result and a number.</w:t>
      </w:r>
    </w:p>
    <w:p>
      <w:pPr>
        <w:pStyle w:val="Heading3"/>
      </w:pPr>
      <w:r>
        <w:rPr>
          <w:color w:val="1E3A5F"/>
        </w:rPr>
        <w:t>If you must save time, save it in the right place</w:t>
      </w:r>
    </w:p>
    <w:p>
      <w:r>
        <w:t>Signals are evaluated at BAR CLOSE, so choosing indicator, method or timeframe gives the same entry instant in both modes. Stop, target and trailing, on the other hand, depend on the intrabar path.</w:t>
      </w:r>
    </w:p>
    <w:p>
      <w:r>
        <w:t>So use each model where it is reliable: OHLC to narrow the switches (indicator, method, timeframe, periods) and real ticks for the exit geometry. With the signal locked the search space collapses by orders of magnitude, and real ticks stop being prohibitive.</w:t>
      </w:r>
    </w:p>
    <w:p>
      <w:pPr>
        <w:pStyle w:val="Heading2"/>
      </w:pPr>
      <w:r>
        <w:rPr>
          <w:color w:val="1E3A5F"/>
        </w:rPr>
        <w:t>Fixed-R to research, percentage to trade</w:t>
      </w:r>
    </w:p>
    <w:p>
      <w:r>
        <w:t>Optimize in Fixed-R: with the base capital frozen, passes stay comparable to each other and across symbols. +40R on gold and +40R on EURUSD mean the same thing, while "+3,200 USD" means nothing without knowing the lot and the balance.</w:t>
      </w:r>
    </w:p>
    <w:p>
      <w:r>
        <w:t>Live, Percentage usually makes more sense: it tracks the account, compounds as it grows and cuts exposure as it shrinks — protection Fixed-R cannot give, because it deliberately ignores the running balance. Both modes report in R, so the record stays readable after the switch.</w:t>
      </w:r>
    </w:p>
    <w:p>
      <w:r>
        <w:t>Bu yuzden devre, onayli bir seti ancak son gecisi Percentage modunda tekrarladiktan sonra kaydeder: sonuc bilesik getiri altinda tutmuyorsa hazir degildi — dogrulanan set de o modda teslim edilir.</w:t>
      </w:r>
    </w:p>
    <w:p>
      <w:pPr>
        <w:pStyle w:val="Heading2"/>
      </w:pPr>
      <w:r>
        <w:rPr>
          <w:color w:val="1E3A5F"/>
        </w:rPr>
        <w:t>Risk uyarısı</w:t>
      </w:r>
    </w:p>
    <w:p>
      <w:r>
        <w:t>EA, set veya geçmiş sonuç geleceği garanti etmez. OOS ve demo ile doğrulayın.</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