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FC1B4"/>
          <w:sz w:val="22"/>
          <w:szCs w:val="22"/>
        </w:rPr>
        <w:t xml:space="preserve">GUÍA DE TRABAJO N.º 3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Principios de la ingeniería de software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6B6F76"/>
          <w:sz w:val="21"/>
          <w:szCs w:val="21"/>
        </w:rPr>
        <w:t xml:space="preserve">Para completar después de la explicación de los temas en clase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Ingeniería de Software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Unidad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— Principios de la ingeniería de software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Duración sugerida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45–60 minutos</w:t>
            </w:r>
          </w:p>
        </w:tc>
      </w:tr>
    </w:tbl>
    <w:p>
      <w:pPr>
        <w:spacing w:after="4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 del estudiante:</w:t>
      </w:r>
    </w:p>
    <w:p>
      <w:pPr>
        <w:spacing w:after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Fecha: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Objetivo de la guía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Consolidar, mediante ejercicios prácticos, los siete principios de la ingeniería de software abordados en la exposición: rigor y formalidad, separación de intereses, modularidad, abstracción, anticipación al cambio, generalidad e incrementalidad.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Instrucciones generales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Responde cada sección utilizando tus propias palabras; evita copiar literalmente del material de clase.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Todas las preguntas abiertas deben responderse con un mínimo de 3 a 5 líneas, salvo que se indique lo contrario.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Las actividades de relación y cuadros deben completarse en su totalidad.</w:t>
      </w:r>
    </w:p>
    <w:p>
      <w:pPr>
        <w:spacing w:after="160" w:before="160"/>
      </w:pPr>
      <w:r>
        <w:rPr>
          <w:rFonts w:ascii="Calibri" w:cs="Calibri" w:eastAsia="Calibri" w:hAnsi="Calibri"/>
          <w:sz w:val="22"/>
          <w:szCs w:val="22"/>
        </w:rPr>
        <w:t xml:space="preserve">Guarda esta guía; será utilizada como insumo para la siguiente clase.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5193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FC1B4"/>
                <w:sz w:val="21"/>
                <w:szCs w:val="21"/>
              </w:rPr>
              <w:t xml:space="preserve">TEMA 1</w:t>
            </w:r>
            <w:r>
              <w:rPr>
                <w:rFonts w:ascii="Calibri" w:cs="Calibri" w:eastAsia="Calibri" w:hAnsi="Calibri"/>
                <w:b/>
                <w:bCs/>
                <w:color w:val="8892A6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RIGOR Y FORMALIDAD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Explica con tus propias palabras la diferencia entre "rigor" y "formalidad" en el desarrollo de software. Da un ejemplo de cada uno.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¿Por qué no conviene formalizar por completo todos los aspectos de un proyecto de software? Menciona un caso donde sí valga la pena hacerlo.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5193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FC1B4"/>
                <w:sz w:val="21"/>
                <w:szCs w:val="21"/>
              </w:rPr>
              <w:t xml:space="preserve">TEMA 2</w:t>
            </w:r>
            <w:r>
              <w:rPr>
                <w:rFonts w:ascii="Calibri" w:cs="Calibri" w:eastAsia="Calibri" w:hAnsi="Calibri"/>
                <w:b/>
                <w:bCs/>
                <w:color w:val="8892A6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SEPARACIÓN DE INTERESES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En tus propias palabras, ¿qué significa "separar intereses" en el diseño de un sistema? Da un ejemplo distinto al visto en clase.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Para una aplicación de reservas de vuelos, identifica al menos tres “intereses” o aspectos distintos que deberían mantenerse separados, y explica brevemente por qué.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5193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FC1B4"/>
                <w:sz w:val="21"/>
                <w:szCs w:val="21"/>
              </w:rPr>
              <w:t xml:space="preserve">TEMA 3</w:t>
            </w:r>
            <w:r>
              <w:rPr>
                <w:rFonts w:ascii="Calibri" w:cs="Calibri" w:eastAsia="Calibri" w:hAnsi="Calibri"/>
                <w:b/>
                <w:bCs/>
                <w:color w:val="8892A6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MODULARIDAD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Explica con tus propias palabras la relación entre modularidad, acoplamiento y cohesión.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Completa el siguiente cuadro indicando si cada situación es un ejemplo de "alto acoplamiento" o de "baja cohesión", y justifica tu respuesta.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2200"/>
        <w:gridCol w:w="3760"/>
      </w:tblGrid>
      <w:tr>
        <w:trPr>
          <w:cantSplit/>
        </w:trPr>
        <w:tc>
          <w:tcPr>
            <w:shd w:fill="15193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shd w:fill="15193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¿Acoplamiento o cohesión?</w:t>
            </w:r>
          </w:p>
        </w:tc>
        <w:tc>
          <w:tcPr>
            <w:shd w:fill="15193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shd w:fill="EEF0F5" w:color="auto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módulo de “utilidades” que mezcla validaciones, envío de emails y cálculos financieros</w:t>
            </w:r>
          </w:p>
        </w:tc>
        <w:tc>
          <w:tcPr>
            <w:shd w:fill="EEF0F5" w:color="auto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shd w:fill="EEF0F5" w:color="auto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6FB" w:color="auto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 módulos que se llaman constantemente entre sí y comparten variables globales</w:t>
            </w:r>
          </w:p>
        </w:tc>
        <w:tc>
          <w:tcPr>
            <w:shd w:fill="F5F6FB" w:color="auto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shd w:fill="F5F6FB" w:color="auto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EEF0F5" w:color="auto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módulo de “reportes” que además valida los permisos del usuario</w:t>
            </w:r>
          </w:p>
        </w:tc>
        <w:tc>
          <w:tcPr>
            <w:shd w:fill="EEF0F5" w:color="auto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shd w:fill="EEF0F5" w:color="auto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6FB" w:color="auto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módulo de autenticación que solo se encarga de validar credenciales</w:t>
            </w:r>
          </w:p>
        </w:tc>
        <w:tc>
          <w:tcPr>
            <w:shd w:fill="F5F6FB" w:color="auto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shd w:fill="F5F6FB" w:color="auto" w:val="clear"/>
            <w:tcMar>
              <w:top w:type="dxa" w:w="160"/>
              <w:left w:type="dxa" w:w="150"/>
              <w:bottom w:type="dxa" w:w="16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¿Por qué una interfaz bien definida entre módulos reduce el impacto de los cambios internos de cada uno?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5193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FC1B4"/>
                <w:sz w:val="21"/>
                <w:szCs w:val="21"/>
              </w:rPr>
              <w:t xml:space="preserve">TEMA 4</w:t>
            </w:r>
            <w:r>
              <w:rPr>
                <w:rFonts w:ascii="Calibri" w:cs="Calibri" w:eastAsia="Calibri" w:hAnsi="Calibri"/>
                <w:b/>
                <w:bCs/>
                <w:color w:val="8892A6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ABSTRACCIÓN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B6F76"/>
          <w:sz w:val="21"/>
          <w:szCs w:val="21"/>
        </w:rPr>
        <w:t xml:space="preserve">Relaciona cada nivel de abstracción con su descripción correspondiente, escribiendo el número correspondiente junto a cada letra.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Relaciona cada nivel con su descripción: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shd w:fill="15193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shd w:fill="15193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EEF0F5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A. Negocio / Requisitos</w:t>
            </w:r>
          </w:p>
        </w:tc>
        <w:tc>
          <w:tcPr>
            <w:shd w:fill="EEF0F5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Instrucciones concretas, escritas en un lenguaje de programación.</w:t>
            </w:r>
          </w:p>
        </w:tc>
      </w:tr>
      <w:tr>
        <w:tc>
          <w:tcPr>
            <w:shd w:fill="F5F6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B. Diseño / Arquitectura</w:t>
            </w:r>
          </w:p>
        </w:tc>
        <w:tc>
          <w:tcPr>
            <w:shd w:fill="F5F6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Qué problema resuelve el sistema para el usuario, sin detalles técnicos.</w:t>
            </w:r>
          </w:p>
        </w:tc>
      </w:tr>
      <w:tr>
        <w:tc>
          <w:tcPr>
            <w:shd w:fill="EEF0F5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C. Implementación / Código</w:t>
            </w:r>
          </w:p>
        </w:tc>
        <w:tc>
          <w:tcPr>
            <w:shd w:fill="EEF0F5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Cómo se organizan los componentes del sistema y cómo interactúan entre sí.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Da un ejemplo de una situación cotidiana (no necesariamente de software) donde se apliquen distintos niveles de abstracción.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5193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FC1B4"/>
                <w:sz w:val="21"/>
                <w:szCs w:val="21"/>
              </w:rPr>
              <w:t xml:space="preserve">TEMA 5</w:t>
            </w:r>
            <w:r>
              <w:rPr>
                <w:rFonts w:ascii="Calibri" w:cs="Calibri" w:eastAsia="Calibri" w:hAnsi="Calibri"/>
                <w:b/>
                <w:bCs/>
                <w:color w:val="8892A6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ANTICIPACIÓN AL CAMBIO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¿Qué significa “anticipar el cambio” en el diseño de software? ¿Implica predecir exactamente qué va a cambiar en el futuro?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Para un sistema de pagos en línea, identifica una parte que probablemente cambie en el futuro y propone cómo aislarla del resto del sistema.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5193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FC1B4"/>
                <w:sz w:val="21"/>
                <w:szCs w:val="21"/>
              </w:rPr>
              <w:t xml:space="preserve">TEMA 6</w:t>
            </w:r>
            <w:r>
              <w:rPr>
                <w:rFonts w:ascii="Calibri" w:cs="Calibri" w:eastAsia="Calibri" w:hAnsi="Calibri"/>
                <w:b/>
                <w:bCs/>
                <w:color w:val="8892A6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GENERALIDAD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¿Cuál es el riesgo de generalizar demasiado una solución? Da un ejemplo concreto de una solución “sobre-generalizada”.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5193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FC1B4"/>
                <w:sz w:val="21"/>
                <w:szCs w:val="21"/>
              </w:rPr>
              <w:t xml:space="preserve">TEMA 7</w:t>
            </w:r>
            <w:r>
              <w:rPr>
                <w:rFonts w:ascii="Calibri" w:cs="Calibri" w:eastAsia="Calibri" w:hAnsi="Calibri"/>
                <w:b/>
                <w:bCs/>
                <w:color w:val="8892A6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INCREMENTALIDAD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Explica la diferencia entre construir un sistema de forma incremental y construirlo todo de una vez ("big bang").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Reflexión final: de los siete principios vistos en la Unidad 3, ¿cuál te parece más difícil de aplicar en la práctica, y por qué?</w:t>
      </w: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6B6F76"/>
          <w:sz w:val="20"/>
          <w:szCs w:val="20"/>
        </w:rPr>
        <w:t xml:space="preserve">— Fin de la guía de trabajo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2026-09-07T11:41:02.646Z</dcterms:created>
  <dcterms:modified xsi:type="dcterms:W3CDTF">2026-09-07T11:41:02.661Z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