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3.4 Análise Crítica Exigida (Segurança)</w:t>
      </w:r>
    </w:p>
    <w:p>
      <w:pPr>
        <w:spacing w:after="300"/>
        <w:jc w:val="center"/>
      </w:pPr>
      <w:r>
        <w:rPr>
          <w:rFonts w:ascii="Arial" w:cs="Arial" w:eastAsia="Arial" w:hAnsi="Arial"/>
          <w:i/>
          <w:iCs/>
          <w:color w:val="555555"/>
          <w:sz w:val="22"/>
          <w:szCs w:val="22"/>
        </w:rPr>
        <w:t xml:space="preserve">Projeto StrideZone — Segurança da Informação</w:t>
      </w:r>
    </w:p>
    <w:p>
      <w:pPr>
        <w:spacing w:after="120"/>
      </w:pPr>
      <w:r>
        <w:rPr>
          <w:rFonts w:ascii="Arial" w:cs="Arial" w:eastAsia="Arial" w:hAnsi="Arial"/>
          <w:b/>
          <w:bCs/>
          <w:sz w:val="24"/>
          <w:szCs w:val="24"/>
        </w:rPr>
        <w:t xml:space="preserve">Pergunta obrigatória</w:t>
      </w:r>
    </w:p>
    <w:p>
      <w:pPr>
        <w:spacing w:after="200" w:line="300"/>
        <w:jc w:val="both"/>
      </w:pPr>
      <w:r>
        <w:rPr>
          <w:rFonts w:ascii="Arial" w:cs="Arial" w:eastAsia="Arial" w:hAnsi="Arial"/>
          <w:i/>
          <w:iCs/>
          <w:sz w:val="22"/>
          <w:szCs w:val="22"/>
        </w:rPr>
        <w:t xml:space="preserve">Considerando a vulnerabilidade que recebeu a nota mais alta na sua Matriz GUT, explique detalhadamente como um invasor poderia explorar essa falha no contexto específico das funcionalidades do SEU projeto. Em seguida, descreva exatamente qual técnica de programação ou regra de infraestrutura o grupo pesquisou e adotou para anular esse risco.</w:t>
      </w:r>
    </w:p>
    <w:p>
      <w:pPr>
        <w:spacing w:after="120" w:before="200"/>
      </w:pPr>
      <w:r>
        <w:rPr>
          <w:rFonts w:ascii="Arial" w:cs="Arial" w:eastAsia="Arial" w:hAnsi="Arial"/>
          <w:b/>
          <w:bCs/>
          <w:sz w:val="24"/>
          <w:szCs w:val="24"/>
        </w:rPr>
        <w:t xml:space="preserve">Resposta</w:t>
      </w:r>
    </w:p>
    <w:p>
      <w:pPr>
        <w:spacing w:after="200" w:line="300"/>
        <w:jc w:val="both"/>
      </w:pPr>
      <w:r>
        <w:rPr>
          <w:rFonts w:ascii="Arial" w:cs="Arial" w:eastAsia="Arial" w:hAnsi="Arial"/>
          <w:sz w:val="22"/>
          <w:szCs w:val="22"/>
        </w:rPr>
        <w:t xml:space="preserve">A vulnerabilidade com maior nota GUT em nosso projeto (125, com Gravidade 5, Urgência 5 e Tendência 5) foi a Injeção SQL no campo de busca de produtos do site da StrideZone. Um invasor poderia digitar no campo de busca um comando como </w:t>
      </w:r>
      <w:r>
        <w:rPr>
          <w:rFonts w:ascii="Courier New" w:cs="Courier New" w:eastAsia="Courier New" w:hAnsi="Courier New"/>
          <w:sz w:val="20"/>
          <w:szCs w:val="20"/>
        </w:rPr>
        <w:t xml:space="preserve">' UNION SELECT nome, cpf, endereco FROM clientes --</w:t>
      </w:r>
      <w:r>
        <w:rPr>
          <w:rFonts w:ascii="Arial" w:cs="Arial" w:eastAsia="Arial" w:hAnsi="Arial"/>
          <w:sz w:val="22"/>
          <w:szCs w:val="22"/>
        </w:rPr>
        <w:t xml:space="preserve">, forçando o banco de dados a devolver, junto com a lista de tênis, dados pessoais de clientes como CPF e endereço de entrega. Em um cenário pior, o mesmo ponto de entrada permitiria alterar preços ou apagar tabelas inteiras de pedidos e estoque. Como o sistema armazena dados pessoais de todos os clientes, um vazamento desse tipo comprometeria diretamente a LGPD e a confiança na loja.</w:t>
      </w:r>
    </w:p>
    <w:p>
      <w:pPr>
        <w:spacing w:after="200" w:line="300"/>
        <w:jc w:val="both"/>
      </w:pPr>
      <w:r>
        <w:rPr>
          <w:rFonts w:ascii="Arial" w:cs="Arial" w:eastAsia="Arial" w:hAnsi="Arial"/>
          <w:sz w:val="22"/>
          <w:szCs w:val="22"/>
        </w:rPr>
        <w:t xml:space="preserve">Para anular esse risco, o grupo pesquisou e adotou o uso de </w:t>
      </w:r>
      <w:r>
        <w:rPr>
          <w:rFonts w:ascii="Arial" w:cs="Arial" w:eastAsia="Arial" w:hAnsi="Arial"/>
          <w:b/>
          <w:bCs/>
          <w:sz w:val="22"/>
          <w:szCs w:val="22"/>
        </w:rPr>
        <w:t xml:space="preserve">consultas parametrizadas por meio de um ORM</w:t>
      </w:r>
      <w:r>
        <w:rPr>
          <w:rFonts w:ascii="Arial" w:cs="Arial" w:eastAsia="Arial" w:hAnsi="Arial"/>
          <w:sz w:val="22"/>
          <w:szCs w:val="22"/>
        </w:rPr>
        <w:t xml:space="preserve"> (como o SQLAlchemy) no backend. Nessa técnica, o texto digitado pelo usuário é sempre enviado ao banco como um valor, separado do comando SQL, e nunca é interpretado como código executável. Como camadas adicionais, o grupo definiu a </w:t>
      </w:r>
      <w:r>
        <w:rPr>
          <w:rFonts w:ascii="Arial" w:cs="Arial" w:eastAsia="Arial" w:hAnsi="Arial"/>
          <w:b/>
          <w:bCs/>
          <w:sz w:val="22"/>
          <w:szCs w:val="22"/>
        </w:rPr>
        <w:t xml:space="preserve">validação de entrada</w:t>
      </w:r>
      <w:r>
        <w:rPr>
          <w:rFonts w:ascii="Arial" w:cs="Arial" w:eastAsia="Arial" w:hAnsi="Arial"/>
          <w:sz w:val="22"/>
          <w:szCs w:val="22"/>
        </w:rPr>
        <w:t xml:space="preserve"> (limite de tamanho e caracteres permitidos no campo de busca) e o </w:t>
      </w:r>
      <w:r>
        <w:rPr>
          <w:rFonts w:ascii="Arial" w:cs="Arial" w:eastAsia="Arial" w:hAnsi="Arial"/>
          <w:b/>
          <w:bCs/>
          <w:sz w:val="22"/>
          <w:szCs w:val="22"/>
        </w:rPr>
        <w:t xml:space="preserve">princípio do menor privilégio</w:t>
      </w:r>
      <w:r>
        <w:rPr>
          <w:rFonts w:ascii="Arial" w:cs="Arial" w:eastAsia="Arial" w:hAnsi="Arial"/>
          <w:sz w:val="22"/>
          <w:szCs w:val="22"/>
        </w:rPr>
        <w:t xml:space="preserve"> no banco de dados, com o usuário da aplicação tendo permissão apenas de leitura na tabela de produtos, o que impede o acesso à tabela de clientes mesmo se alguma outra camada falhar.</w:t>
      </w:r>
    </w:p>
    <w:p>
      <w:pPr>
        <w:spacing w:after="100" w:before="200"/>
      </w:pPr>
      <w:r>
        <w:rPr>
          <w:rFonts w:ascii="Arial" w:cs="Arial" w:eastAsia="Arial" w:hAnsi="Arial"/>
          <w:b/>
          <w:bCs/>
          <w:sz w:val="24"/>
          <w:szCs w:val="24"/>
        </w:rPr>
        <w:t xml:space="preserve">Fonte pesquisada</w:t>
      </w:r>
    </w:p>
    <w:p>
      <w:pPr>
        <w:spacing w:after="200" w:line="300"/>
        <w:jc w:val="left"/>
      </w:pPr>
      <w:r>
        <w:rPr>
          <w:rFonts w:ascii="Arial" w:cs="Arial" w:eastAsia="Arial" w:hAnsi="Arial"/>
          <w:sz w:val="22"/>
          <w:szCs w:val="22"/>
        </w:rPr>
        <w:t xml:space="preserve">OWASP. SQL Injection Prevention Cheat Sheet. Disponível em: cheatsheetseries.owasp.org.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2026-10-21T00:56:44.146Z</dcterms:created>
  <dcterms:modified xsi:type="dcterms:W3CDTF">2026-10-21T00:56:44.154Z</dcterms:modified>
</cp:coreProperties>
</file>

<file path=docProps/custom.xml><?xml version="1.0" encoding="utf-8"?>
<Properties xmlns="http://schemas.openxmlformats.org/officeDocument/2006/custom-properties" xmlns:vt="http://schemas.openxmlformats.org/officeDocument/2006/docPropsVTypes"/>
</file>