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980B9"/>
          <w:sz w:val="21"/>
        </w:rPr>
        <w:t>CÁTEDRA DE REDES DE COMPUTADORAS — APUNTE TEÓRICO COMPLETO</w:t>
        <w:br/>
      </w:r>
      <w:r>
        <w:rPr>
          <w:rFonts w:ascii="Calibri" w:hAnsi="Calibri"/>
          <w:b/>
          <w:color w:val="182B49"/>
          <w:sz w:val="40"/>
        </w:rPr>
        <w:t>Fundamentos de Redes: Modelos en Capas, Conmutación, Inalámbricas, Primitivas de Servicio y Estandarización</w:t>
      </w:r>
    </w:p>
    <w:p>
      <w:pPr>
        <w:spacing w:after="280"/>
      </w:pPr>
      <w:r>
        <w:rPr>
          <w:color w:val="2980B9"/>
        </w:rPr>
        <w:t>━━━━━━━━━━━━━━━━━━━━━━━━━━━━━━━━━━━━━━━━━━━━━━━━━━━━━━━━━━━━</w:t>
      </w:r>
    </w:p>
    <w:p>
      <w:pPr>
        <w:keepNext/>
        <w:spacing w:before="320" w:after="120"/>
      </w:pPr>
      <w:r>
        <w:rPr>
          <w:rFonts w:ascii="Calibri" w:hAnsi="Calibri"/>
          <w:b/>
          <w:color w:val="182B49"/>
          <w:sz w:val="32"/>
        </w:rPr>
        <w:t>1. Objetivos y Resumen Ejecutivo</w:t>
      </w:r>
    </w:p>
    <w:p>
      <w:r>
        <w:t>El presente documento constituye una sistematización rigurosa de los conceptos fundamentales expuestos en la clase introductoria sobre arquitectura de redes de computadoras. El propósito central es comprender cómo las redes modernas resuelven el desafío de interconectar sistemas heterogéneos y dispersos mediante la abstracción en capas de software y hardware, garantizando robustez, escalabilidad y una evolución modular independiente de las tecnologías subyacentes.</w:t>
      </w:r>
    </w:p>
    <w:p>
      <w:r>
        <w:t xml:space="preserve">Se analizan en profundidad las diferencias paradigmáticas entre la </w:t>
      </w:r>
      <w:r>
        <w:rPr>
          <w:b/>
        </w:rPr>
        <w:t xml:space="preserve">conmutación de circuitos </w:t>
      </w:r>
      <w:r>
        <w:t xml:space="preserve">(modelo histórico de la telefonía tradicional con reserva de recursos y estado centralizado) y la </w:t>
      </w:r>
      <w:r>
        <w:rPr>
          <w:b/>
        </w:rPr>
        <w:t xml:space="preserve">conmutación de paquetes por datagramas </w:t>
      </w:r>
      <w:r>
        <w:t>(filosofía fundacional de ARPANET e Internet, orientada a la resiliencia y el mejor esfuerzo). Asimismo, se examinan las complejidades físicas y de contención en medios inalámbricos y móviles (Wi-Fi, bandas ISM, 1G a 5G, trayectorias múltiples y problema del nodo oculto).</w:t>
      </w:r>
    </w:p>
    <w:p>
      <w:r>
        <w:t xml:space="preserve">Finalmente, se formaliza el estudio de la pila de protocolos mediante el </w:t>
      </w:r>
      <w:r>
        <w:rPr>
          <w:b/>
        </w:rPr>
        <w:t>modelo híbrido de 5 capas (Tanenbaum)</w:t>
      </w:r>
      <w:r>
        <w:t>, detallando el ciclo de vida del dato (encapsulación, fragmentación, control de errores CRC y direccionamiento PDU), las primitivas de interfaz para programación de red (sockets y servicios con/sin estado), el rol de los estándares internacionales (IEEE, IETF, ITU-T) y las implicancias sociotécnicas relativas a la neutralidad de la red y las unidades de medición física.</w:t>
      </w:r>
    </w:p>
    <w:p>
      <w:pPr>
        <w:keepNext/>
        <w:spacing w:before="320" w:after="120"/>
      </w:pPr>
      <w:r>
        <w:rPr>
          <w:rFonts w:ascii="Calibri" w:hAnsi="Calibri"/>
          <w:b/>
          <w:color w:val="182B49"/>
          <w:sz w:val="32"/>
        </w:rPr>
        <w:t>2. Objetivos de Diseño en Arquitectura de Redes</w:t>
      </w:r>
    </w:p>
    <w:p>
      <w:r>
        <w:t>El diseño de cualquier red de datos persigue reconciliar cuatro pilares fundamentales, los cuales determinan la topología, los algoritmos de encaminamiento y los protocolos empleados:</w:t>
      </w:r>
    </w:p>
    <w:p>
      <w:pPr>
        <w:pStyle w:val="ListBullet"/>
        <w:spacing w:after="80"/>
      </w:pPr>
      <w:r>
        <w:rPr>
          <w:b/>
        </w:rPr>
        <w:t xml:space="preserve">Confiabilidad (Reliability): </w:t>
      </w:r>
      <w:r>
        <w:t>Capacidad de entregar la información íntegra y sin alteraciones entre extremos a pesar de que el medio físico subyacente es ruidoso, sujeto a atenuación y propenso a pérdidas.</w:t>
      </w:r>
    </w:p>
    <w:p>
      <w:pPr>
        <w:pStyle w:val="ListBullet"/>
        <w:spacing w:after="80"/>
      </w:pPr>
      <w:r>
        <w:rPr>
          <w:b/>
        </w:rPr>
        <w:t xml:space="preserve">Asignación Eficiente de Recursos: </w:t>
      </w:r>
      <w:r>
        <w:t>Mecanismos para multiplexar canales compartidos finitos (ancho de banda, espectro radioeléctrico, tiempo de canal) entre múltiples usuarios concurrentes sin colisiones destructivas.</w:t>
      </w:r>
    </w:p>
    <w:p>
      <w:pPr>
        <w:pStyle w:val="ListBullet"/>
        <w:spacing w:after="80"/>
      </w:pPr>
      <w:r>
        <w:rPr>
          <w:b/>
        </w:rPr>
        <w:t xml:space="preserve">Evolución y Modularidad: </w:t>
      </w:r>
      <w:r>
        <w:t>Habilidad de incorporar nuevas tecnologías físicas o algoritmos de enrutamiento sin requerir la reescritura de las aplicaciones ni la sustitución global de la infraestructura.</w:t>
      </w:r>
    </w:p>
    <w:p>
      <w:pPr>
        <w:pStyle w:val="ListBullet"/>
        <w:spacing w:after="80"/>
      </w:pPr>
      <w:r>
        <w:rPr>
          <w:b/>
        </w:rPr>
        <w:t xml:space="preserve">Seguridad y Resiliencia: </w:t>
      </w:r>
      <w:r>
        <w:t>Protección del canal frente a accesos no autorizados, interceptación o manipulación de datos, sustentada en la tríada clásica de seguridad informática (CIA).</w:t>
      </w:r>
    </w:p>
    <w:p>
      <w:pPr>
        <w:keepNext/>
        <w:spacing w:before="240" w:after="80"/>
      </w:pPr>
      <w:r>
        <w:rPr>
          <w:rFonts w:ascii="Calibri" w:hAnsi="Calibri"/>
          <w:b/>
          <w:color w:val="2980B9"/>
          <w:sz w:val="26"/>
        </w:rPr>
        <w:t>2.1. Desafíos de Control: Flujo vs. Congestión vs. Calidad de Servicio (QoS)</w:t>
      </w:r>
    </w:p>
    <w:p>
      <w:r>
        <w:t>Es habitual en el estudio de redes confundir dos problemas dinámicos esenciales vinculados a la gestión de recursos. Es mandatorio distinguirlos formalmente:</w:t>
      </w:r>
    </w:p>
    <w:p>
      <w:r>
        <w:rPr>
          <w:b/>
        </w:rPr>
        <w:t xml:space="preserve">• Control de Flujo (Flow Control): </w:t>
      </w:r>
      <w:r>
        <w:t xml:space="preserve">Es un problema de relación directa </w:t>
      </w:r>
      <w:r>
        <w:rPr>
          <w:i/>
        </w:rPr>
        <w:t>extremo a extremo (punto a punto)</w:t>
      </w:r>
      <w:r>
        <w:t>. Ocurre cuando un emisor veloz genera datos a una tasa superior a la velocidad de procesamiento o capacidad de buffer del receptor. El receptor notifica al emisor para que reduzca su tasa de transmisión (ej. mediante mecanismos de ventana deslizante en TCP).</w:t>
      </w:r>
    </w:p>
    <w:p>
      <w:r>
        <w:rPr>
          <w:b/>
        </w:rPr>
        <w:t xml:space="preserve">• Control de Congestión (Congestion Control): </w:t>
      </w:r>
      <w:r>
        <w:t xml:space="preserve">Es un problema </w:t>
      </w:r>
      <w:r>
        <w:rPr>
          <w:i/>
        </w:rPr>
        <w:t>global de la red</w:t>
      </w:r>
      <w:r>
        <w:t>. Ocurre cuando un conjunto de emisores inyecta una cantidad excesiva de tráfico en la subred de comunicaciones, saturando los buffers internos de los conmutadores/enrutadores intermedios, provocando colas desbordadas, retardos elevados y descarte masivo de paquetes.</w:t>
      </w:r>
    </w:p>
    <w:p>
      <w:r>
        <w:rPr>
          <w:b/>
        </w:rPr>
        <w:t xml:space="preserve">• Calidad de Servicio (QoS): </w:t>
      </w:r>
      <w:r>
        <w:t>Es el conjunto de garantías cuantitativas y cualitativas (ancho de banda mínimo, jitter acotado, límite de latencia y tasa de pérdida de paquetes) que una red ofrece a flujos específicos. En redes sin conexión basadas en datagramas puros, proveer QoS estricto es complejo debido a la naturaleza estocástica del tráfico compartido.</w:t>
      </w:r>
    </w:p>
    <w:p>
      <w:pPr>
        <w:keepNext/>
        <w:spacing w:before="240" w:after="80"/>
      </w:pPr>
      <w:r>
        <w:rPr>
          <w:rFonts w:ascii="Calibri" w:hAnsi="Calibri"/>
          <w:b/>
          <w:color w:val="2980B9"/>
          <w:sz w:val="26"/>
        </w:rPr>
        <w:t>2.2. Seguridad Informática: La Tríada CIA</w:t>
      </w:r>
    </w:p>
    <w:p>
      <w:r>
        <w:t>El diseño seguro de protocolos analiza el compromiso entre los tres vértices del triángulo de seguridad:</w:t>
      </w:r>
    </w:p>
    <w:p>
      <w:pPr>
        <w:pStyle w:val="ListBullet"/>
      </w:pPr>
      <w:r>
        <w:rPr>
          <w:b/>
        </w:rPr>
        <w:t xml:space="preserve">Confidencialidad (Confidentiality): </w:t>
      </w:r>
      <w:r>
        <w:t>Garantiza que la información transmitida solo sea inteligible para los destinatarios autorizados (implementada mediante algoritmos criptográficos robustos).</w:t>
      </w:r>
    </w:p>
    <w:p>
      <w:pPr>
        <w:pStyle w:val="ListBullet"/>
      </w:pPr>
      <w:r>
        <w:rPr>
          <w:b/>
        </w:rPr>
        <w:t xml:space="preserve">Integridad (Integrity): </w:t>
      </w:r>
      <w:r>
        <w:t>Asegura que los datos no hayan sido alterados, truncados o reinyectados de forma maliciosa durante el tránsito (hashes criptográficos, firmas digitales, HMAC).</w:t>
      </w:r>
    </w:p>
    <w:p>
      <w:pPr>
        <w:pStyle w:val="ListBullet"/>
      </w:pPr>
      <w:r>
        <w:rPr>
          <w:b/>
        </w:rPr>
        <w:t xml:space="preserve">Disponibilidad (Availability) / Autenticación: </w:t>
      </w:r>
      <w:r>
        <w:t>Garantiza que los servicios y recursos de red permanezcan accesibles cuando los usuarios legítimos los requieran, verificando fehacientemente la identidad de los extremos.</w:t>
      </w:r>
    </w:p>
    <w:tbl>
      <w:tblPr>
        <w:tblW w:type="auto" w:w="0"/>
        <w:jc w:val="center"/>
        <w:tblLayout w:type="fixed"/>
        <w:tblLook w:firstColumn="1" w:firstRow="1" w:lastColumn="0" w:lastRow="0" w:noHBand="0" w:noVBand="1" w:val="04A0"/>
      </w:tblPr>
      <w:tblGrid>
        <w:gridCol w:w="9360"/>
      </w:tblGrid>
      <w:tr>
        <w:tc>
          <w:tcPr>
            <w:tcW w:type="dxa" w:w="9360"/>
            <w:shd w:fill="EBF5FB"/>
            <w:tcMar>
              <w:top w:w="140" w:type="dxa"/>
              <w:bottom w:w="140" w:type="dxa"/>
              <w:left w:w="200" w:type="dxa"/>
              <w:right w:w="150" w:type="dxa"/>
            </w:tcMar>
            <w:tcBorders>
              <w:top w:val="none"/>
              <w:left w:val="single" w:sz="24" w:space="0" w:color="2980B9"/>
              <w:bottom w:val="none"/>
              <w:right w:val="none"/>
            </w:tcBorders>
          </w:tcPr>
          <w:p>
            <w:pPr>
              <w:spacing w:after="60" w:line="276" w:lineRule="auto"/>
            </w:pPr>
            <w:r>
              <w:rPr>
                <w:rFonts w:ascii="Calibri" w:hAnsi="Calibri"/>
                <w:b/>
                <w:color w:val="182B49"/>
                <w:sz w:val="21"/>
              </w:rPr>
              <w:t>📌 CRITERIO DE DISEÑO EN SEGURIDAD: PRIORIZACIÓN CONTEXTUAL</w:t>
              <w:br/>
            </w:r>
            <w:r>
              <w:rPr>
                <w:rFonts w:ascii="Calibri" w:hAnsi="Calibri"/>
                <w:color w:val="2C3E50"/>
                <w:sz w:val="20"/>
              </w:rPr>
              <w:t>En sistemas transaccionales y bancarios (como cajeros automáticos o pasarelas de pago), la Integridad y la Autenticación son críticas e infranqueables: es preferible denegar temporalmente una operación (sacrificar disponibilidad) antes que permitir una alteración en el saldo o procesar una transferencia ilegítima.</w:t>
            </w:r>
          </w:p>
        </w:tc>
      </w:tr>
    </w:tbl>
    <w:p/>
    <w:p>
      <w:pPr>
        <w:keepNext/>
        <w:spacing w:before="320" w:after="120"/>
      </w:pPr>
      <w:r>
        <w:rPr>
          <w:rFonts w:ascii="Calibri" w:hAnsi="Calibri"/>
          <w:b/>
          <w:color w:val="182B49"/>
          <w:sz w:val="32"/>
        </w:rPr>
        <w:t>3. Paradigmas de Conmutación y Modelos de Servicio</w:t>
      </w:r>
    </w:p>
    <w:p>
      <w:pPr>
        <w:keepNext/>
        <w:spacing w:before="240" w:after="80"/>
      </w:pPr>
      <w:r>
        <w:rPr>
          <w:rFonts w:ascii="Calibri" w:hAnsi="Calibri"/>
          <w:b/>
          <w:color w:val="2980B9"/>
          <w:sz w:val="26"/>
        </w:rPr>
        <w:t>3.1. Conmutación de Circuitos vs. Conmutación de Paquetes</w:t>
      </w:r>
    </w:p>
    <w:p>
      <w:r>
        <w:t>Históricamente, los sistemas de telecomunicaciones se dividen en dos arquitecturas fundamentales:</w:t>
      </w:r>
    </w:p>
    <w:p>
      <w:r>
        <w:rPr>
          <w:b/>
        </w:rPr>
        <w:t xml:space="preserve">1. Conmutación de Circuitos (Circuit Switching): </w:t>
      </w:r>
      <w:r>
        <w:t>Heredada de la Red Telefónica Conmutada (PSTN). Requiere el establecimiento explícito de una ruta física/lógica dedicada antes de transferir información. Los recursos (ancho de banda, ranuras temporales) se reservan de forma exclusiva durante toda la sesión. Si no hay datos fluyendo (silencio), el canal permanece ocioso e inalcanzable para otros usuarios, provocando ineficiencia en tráfico a ráfagas.</w:t>
      </w:r>
    </w:p>
    <w:p>
      <w:r>
        <w:rPr>
          <w:b/>
        </w:rPr>
        <w:t xml:space="preserve">2. Conmutación de Paquetes (Packet Switching - Datagramas): </w:t>
      </w:r>
      <w:r>
        <w:t xml:space="preserve">Modelo adoptado por Internet. La información se segmenta en unidades discretas denominadas </w:t>
      </w:r>
      <w:r>
        <w:rPr>
          <w:b/>
        </w:rPr>
        <w:t>paquetes o datagramas</w:t>
      </w:r>
      <w:r>
        <w:t>. Cada paquete contiene metadatos de control (dirección origen y destino) y se enruta de forma completamente autónoma. Los enlaces se comparten dinámicamente mediante multiplexación estadística. Si un enlace falla, los enrutadores recalculan la topología y redirigen los paquetes subsiguientes por rutas alternativas.</w:t>
      </w:r>
    </w:p>
    <w:tbl>
      <w:tblPr>
        <w:tblW w:type="auto" w:w="0"/>
        <w:jc w:val="center"/>
        <w:tblLayout w:type="fixed"/>
        <w:tblLook w:firstColumn="1" w:firstRow="1" w:lastColumn="0" w:lastRow="0" w:noHBand="0" w:noVBand="1" w:val="04A0"/>
        <w:tblBorders>
          <w:top w:val="single" w:sz="4" w:space="0" w:color="D0D7DE"/>
          <w:bottom w:val="single" w:sz="6" w:space="0" w:color="182B49"/>
          <w:left w:val="none"/>
          <w:right w:val="none"/>
          <w:insideH w:val="single" w:sz="4" w:space="0" w:color="E1E4E8"/>
          <w:insideV w:val="none"/>
        </w:tblBorders>
      </w:tblPr>
      <w:tblGrid>
        <w:gridCol w:w="3120"/>
        <w:gridCol w:w="3120"/>
        <w:gridCol w:w="3120"/>
      </w:tblGrid>
      <w:tr>
        <w:tc>
          <w:tcPr>
            <w:tcW w:type="dxa" w:w="2592"/>
            <w:shd w:fill="182B49"/>
            <w:tcMar>
              <w:top w:w="120" w:type="dxa"/>
              <w:bottom w:w="120" w:type="dxa"/>
              <w:left w:w="140" w:type="dxa"/>
              <w:right w:w="140" w:type="dxa"/>
            </w:tcMar>
          </w:tcPr>
          <w:p>
            <w:pPr>
              <w:jc w:val="left"/>
            </w:pPr>
            <w:r>
              <w:rPr>
                <w:rFonts w:ascii="Calibri" w:hAnsi="Calibri"/>
                <w:b/>
                <w:color w:val="FFFFFF"/>
                <w:sz w:val="20"/>
              </w:rPr>
              <w:t>Característica</w:t>
            </w:r>
          </w:p>
        </w:tc>
        <w:tc>
          <w:tcPr>
            <w:tcW w:type="dxa" w:w="3312"/>
            <w:shd w:fill="182B49"/>
            <w:tcMar>
              <w:top w:w="120" w:type="dxa"/>
              <w:bottom w:w="120" w:type="dxa"/>
              <w:left w:w="140" w:type="dxa"/>
              <w:right w:w="140" w:type="dxa"/>
            </w:tcMar>
          </w:tcPr>
          <w:p>
            <w:pPr>
              <w:jc w:val="left"/>
            </w:pPr>
            <w:r>
              <w:rPr>
                <w:rFonts w:ascii="Calibri" w:hAnsi="Calibri"/>
                <w:b/>
                <w:color w:val="FFFFFF"/>
                <w:sz w:val="20"/>
              </w:rPr>
              <w:t>Conmutación de Circuitos</w:t>
            </w:r>
          </w:p>
        </w:tc>
        <w:tc>
          <w:tcPr>
            <w:tcW w:type="dxa" w:w="3456"/>
            <w:shd w:fill="182B49"/>
            <w:tcMar>
              <w:top w:w="120" w:type="dxa"/>
              <w:bottom w:w="120" w:type="dxa"/>
              <w:left w:w="140" w:type="dxa"/>
              <w:right w:w="140" w:type="dxa"/>
            </w:tcMar>
          </w:tcPr>
          <w:p>
            <w:pPr>
              <w:jc w:val="left"/>
            </w:pPr>
            <w:r>
              <w:rPr>
                <w:rFonts w:ascii="Calibri" w:hAnsi="Calibri"/>
                <w:b/>
                <w:color w:val="FFFFFF"/>
                <w:sz w:val="20"/>
              </w:rPr>
              <w:t>Conmutación de Paquetes (Datagramas)</w:t>
            </w:r>
          </w:p>
        </w:tc>
      </w:tr>
      <w:tr>
        <w:tc>
          <w:tcPr>
            <w:tcW w:type="dxa" w:w="2592"/>
            <w:shd w:fill="FFFFFF"/>
            <w:tcMar>
              <w:top w:w="100" w:type="dxa"/>
              <w:bottom w:w="100" w:type="dxa"/>
              <w:left w:w="140" w:type="dxa"/>
              <w:right w:w="140" w:type="dxa"/>
            </w:tcMar>
          </w:tcPr>
          <w:p>
            <w:pPr>
              <w:spacing w:line="276" w:lineRule="auto" w:after="40"/>
            </w:pPr>
            <w:r>
              <w:rPr>
                <w:rFonts w:ascii="Calibri" w:hAnsi="Calibri"/>
                <w:color w:val="2C3E50"/>
                <w:sz w:val="19"/>
              </w:rPr>
              <w:t>Fases de Comunicación</w:t>
            </w:r>
          </w:p>
        </w:tc>
        <w:tc>
          <w:tcPr>
            <w:tcW w:type="dxa" w:w="3312"/>
            <w:shd w:fill="FFFFFF"/>
            <w:tcMar>
              <w:top w:w="100" w:type="dxa"/>
              <w:bottom w:w="100" w:type="dxa"/>
              <w:left w:w="140" w:type="dxa"/>
              <w:right w:w="140" w:type="dxa"/>
            </w:tcMar>
          </w:tcPr>
          <w:p>
            <w:pPr>
              <w:spacing w:line="276" w:lineRule="auto" w:after="40"/>
            </w:pPr>
            <w:r>
              <w:rPr>
                <w:rFonts w:ascii="Calibri" w:hAnsi="Calibri"/>
                <w:color w:val="2C3E50"/>
                <w:sz w:val="19"/>
              </w:rPr>
              <w:t>3 Fases: Establecimiento, Transferencia, Liberación.</w:t>
            </w:r>
          </w:p>
        </w:tc>
        <w:tc>
          <w:tcPr>
            <w:tcW w:type="dxa" w:w="3456"/>
            <w:shd w:fill="FFFFFF"/>
            <w:tcMar>
              <w:top w:w="100" w:type="dxa"/>
              <w:bottom w:w="100" w:type="dxa"/>
              <w:left w:w="140" w:type="dxa"/>
              <w:right w:w="140" w:type="dxa"/>
            </w:tcMar>
          </w:tcPr>
          <w:p>
            <w:pPr>
              <w:spacing w:line="276" w:lineRule="auto" w:after="40"/>
            </w:pPr>
            <w:r>
              <w:rPr>
                <w:rFonts w:ascii="Calibri" w:hAnsi="Calibri"/>
                <w:color w:val="2C3E50"/>
                <w:sz w:val="19"/>
              </w:rPr>
              <w:t>1 Fase: Envío directo del paquete.</w:t>
            </w:r>
          </w:p>
        </w:tc>
      </w:tr>
      <w:tr>
        <w:tc>
          <w:tcPr>
            <w:tcW w:type="dxa" w:w="2592"/>
            <w:shd w:fill="F4F6F9"/>
            <w:tcMar>
              <w:top w:w="100" w:type="dxa"/>
              <w:bottom w:w="100" w:type="dxa"/>
              <w:left w:w="140" w:type="dxa"/>
              <w:right w:w="140" w:type="dxa"/>
            </w:tcMar>
          </w:tcPr>
          <w:p>
            <w:pPr>
              <w:spacing w:line="276" w:lineRule="auto" w:after="40"/>
            </w:pPr>
            <w:r>
              <w:rPr>
                <w:rFonts w:ascii="Calibri" w:hAnsi="Calibri"/>
                <w:color w:val="2C3E50"/>
                <w:sz w:val="19"/>
              </w:rPr>
              <w:t>Reserva de Recursos</w:t>
            </w:r>
          </w:p>
        </w:tc>
        <w:tc>
          <w:tcPr>
            <w:tcW w:type="dxa" w:w="3312"/>
            <w:shd w:fill="F4F6F9"/>
            <w:tcMar>
              <w:top w:w="100" w:type="dxa"/>
              <w:bottom w:w="100" w:type="dxa"/>
              <w:left w:w="140" w:type="dxa"/>
              <w:right w:w="140" w:type="dxa"/>
            </w:tcMar>
          </w:tcPr>
          <w:p>
            <w:pPr>
              <w:spacing w:line="276" w:lineRule="auto" w:after="40"/>
            </w:pPr>
            <w:r>
              <w:rPr>
                <w:rFonts w:ascii="Calibri" w:hAnsi="Calibri"/>
                <w:color w:val="2C3E50"/>
                <w:sz w:val="19"/>
              </w:rPr>
              <w:t>Dedicada y garantizada por sesión.</w:t>
            </w:r>
          </w:p>
        </w:tc>
        <w:tc>
          <w:tcPr>
            <w:tcW w:type="dxa" w:w="3456"/>
            <w:shd w:fill="F4F6F9"/>
            <w:tcMar>
              <w:top w:w="100" w:type="dxa"/>
              <w:bottom w:w="100" w:type="dxa"/>
              <w:left w:w="140" w:type="dxa"/>
              <w:right w:w="140" w:type="dxa"/>
            </w:tcMar>
          </w:tcPr>
          <w:p>
            <w:pPr>
              <w:spacing w:line="276" w:lineRule="auto" w:after="40"/>
            </w:pPr>
            <w:r>
              <w:rPr>
                <w:rFonts w:ascii="Calibri" w:hAnsi="Calibri"/>
                <w:color w:val="2C3E50"/>
                <w:sz w:val="19"/>
              </w:rPr>
              <w:t>Bajo demanda (Multiplexación estadística).</w:t>
            </w:r>
          </w:p>
        </w:tc>
      </w:tr>
      <w:tr>
        <w:tc>
          <w:tcPr>
            <w:tcW w:type="dxa" w:w="2592"/>
            <w:shd w:fill="FFFFFF"/>
            <w:tcMar>
              <w:top w:w="100" w:type="dxa"/>
              <w:bottom w:w="100" w:type="dxa"/>
              <w:left w:w="140" w:type="dxa"/>
              <w:right w:w="140" w:type="dxa"/>
            </w:tcMar>
          </w:tcPr>
          <w:p>
            <w:pPr>
              <w:spacing w:line="276" w:lineRule="auto" w:after="40"/>
            </w:pPr>
            <w:r>
              <w:rPr>
                <w:rFonts w:ascii="Calibri" w:hAnsi="Calibri"/>
                <w:color w:val="2C3E50"/>
                <w:sz w:val="19"/>
              </w:rPr>
              <w:t>Ruta de los Datos</w:t>
            </w:r>
          </w:p>
        </w:tc>
        <w:tc>
          <w:tcPr>
            <w:tcW w:type="dxa" w:w="3312"/>
            <w:shd w:fill="FFFFFF"/>
            <w:tcMar>
              <w:top w:w="100" w:type="dxa"/>
              <w:bottom w:w="100" w:type="dxa"/>
              <w:left w:w="140" w:type="dxa"/>
              <w:right w:w="140" w:type="dxa"/>
            </w:tcMar>
          </w:tcPr>
          <w:p>
            <w:pPr>
              <w:spacing w:line="276" w:lineRule="auto" w:after="40"/>
            </w:pPr>
            <w:r>
              <w:rPr>
                <w:rFonts w:ascii="Calibri" w:hAnsi="Calibri"/>
                <w:color w:val="2C3E50"/>
                <w:sz w:val="19"/>
              </w:rPr>
              <w:t>Fija para toda la duración de la llamada.</w:t>
            </w:r>
          </w:p>
        </w:tc>
        <w:tc>
          <w:tcPr>
            <w:tcW w:type="dxa" w:w="3456"/>
            <w:shd w:fill="FFFFFF"/>
            <w:tcMar>
              <w:top w:w="100" w:type="dxa"/>
              <w:bottom w:w="100" w:type="dxa"/>
              <w:left w:w="140" w:type="dxa"/>
              <w:right w:w="140" w:type="dxa"/>
            </w:tcMar>
          </w:tcPr>
          <w:p>
            <w:pPr>
              <w:spacing w:line="276" w:lineRule="auto" w:after="40"/>
            </w:pPr>
            <w:r>
              <w:rPr>
                <w:rFonts w:ascii="Calibri" w:hAnsi="Calibri"/>
                <w:color w:val="2C3E50"/>
                <w:sz w:val="19"/>
              </w:rPr>
              <w:t>Dinámica e individual para cada paquete.</w:t>
            </w:r>
          </w:p>
        </w:tc>
      </w:tr>
      <w:tr>
        <w:tc>
          <w:tcPr>
            <w:tcW w:type="dxa" w:w="2592"/>
            <w:shd w:fill="F4F6F9"/>
            <w:tcMar>
              <w:top w:w="100" w:type="dxa"/>
              <w:bottom w:w="100" w:type="dxa"/>
              <w:left w:w="140" w:type="dxa"/>
              <w:right w:w="140" w:type="dxa"/>
            </w:tcMar>
          </w:tcPr>
          <w:p>
            <w:pPr>
              <w:spacing w:line="276" w:lineRule="auto" w:after="40"/>
            </w:pPr>
            <w:r>
              <w:rPr>
                <w:rFonts w:ascii="Calibri" w:hAnsi="Calibri"/>
                <w:color w:val="2C3E50"/>
                <w:sz w:val="19"/>
              </w:rPr>
              <w:t>Tolerancia a Fallos</w:t>
            </w:r>
          </w:p>
        </w:tc>
        <w:tc>
          <w:tcPr>
            <w:tcW w:type="dxa" w:w="3312"/>
            <w:shd w:fill="F4F6F9"/>
            <w:tcMar>
              <w:top w:w="100" w:type="dxa"/>
              <w:bottom w:w="100" w:type="dxa"/>
              <w:left w:w="140" w:type="dxa"/>
              <w:right w:w="140" w:type="dxa"/>
            </w:tcMar>
          </w:tcPr>
          <w:p>
            <w:pPr>
              <w:spacing w:line="276" w:lineRule="auto" w:after="40"/>
            </w:pPr>
            <w:r>
              <w:rPr>
                <w:rFonts w:ascii="Calibri" w:hAnsi="Calibri"/>
                <w:color w:val="2C3E50"/>
                <w:sz w:val="19"/>
              </w:rPr>
              <w:t>Nula durante la llamada (la caída del enlace corta la sesión).</w:t>
            </w:r>
          </w:p>
        </w:tc>
        <w:tc>
          <w:tcPr>
            <w:tcW w:type="dxa" w:w="3456"/>
            <w:shd w:fill="F4F6F9"/>
            <w:tcMar>
              <w:top w:w="100" w:type="dxa"/>
              <w:bottom w:w="100" w:type="dxa"/>
              <w:left w:w="140" w:type="dxa"/>
              <w:right w:w="140" w:type="dxa"/>
            </w:tcMar>
          </w:tcPr>
          <w:p>
            <w:pPr>
              <w:spacing w:line="276" w:lineRule="auto" w:after="40"/>
            </w:pPr>
            <w:r>
              <w:rPr>
                <w:rFonts w:ascii="Calibri" w:hAnsi="Calibri"/>
                <w:color w:val="2C3E50"/>
                <w:sz w:val="19"/>
              </w:rPr>
              <w:t>Alta (el protocolo de enrutamiento bordea nodos caídos).</w:t>
            </w:r>
          </w:p>
        </w:tc>
      </w:tr>
      <w:tr>
        <w:tc>
          <w:tcPr>
            <w:tcW w:type="dxa" w:w="2592"/>
            <w:shd w:fill="FFFFFF"/>
            <w:tcMar>
              <w:top w:w="100" w:type="dxa"/>
              <w:bottom w:w="100" w:type="dxa"/>
              <w:left w:w="140" w:type="dxa"/>
              <w:right w:w="140" w:type="dxa"/>
            </w:tcMar>
          </w:tcPr>
          <w:p>
            <w:pPr>
              <w:spacing w:line="276" w:lineRule="auto" w:after="40"/>
            </w:pPr>
            <w:r>
              <w:rPr>
                <w:rFonts w:ascii="Calibri" w:hAnsi="Calibri"/>
                <w:color w:val="2C3E50"/>
                <w:sz w:val="19"/>
              </w:rPr>
              <w:t>Uso del Canal</w:t>
            </w:r>
          </w:p>
        </w:tc>
        <w:tc>
          <w:tcPr>
            <w:tcW w:type="dxa" w:w="3312"/>
            <w:shd w:fill="FFFFFF"/>
            <w:tcMar>
              <w:top w:w="100" w:type="dxa"/>
              <w:bottom w:w="100" w:type="dxa"/>
              <w:left w:w="140" w:type="dxa"/>
              <w:right w:w="140" w:type="dxa"/>
            </w:tcMar>
          </w:tcPr>
          <w:p>
            <w:pPr>
              <w:spacing w:line="276" w:lineRule="auto" w:after="40"/>
            </w:pPr>
            <w:r>
              <w:rPr>
                <w:rFonts w:ascii="Calibri" w:hAnsi="Calibri"/>
                <w:color w:val="2C3E50"/>
                <w:sz w:val="19"/>
              </w:rPr>
              <w:t>Ineficiente para tráfico ráfaga (desperdicio en silencio).</w:t>
            </w:r>
          </w:p>
        </w:tc>
        <w:tc>
          <w:tcPr>
            <w:tcW w:type="dxa" w:w="3456"/>
            <w:shd w:fill="FFFFFF"/>
            <w:tcMar>
              <w:top w:w="100" w:type="dxa"/>
              <w:bottom w:w="100" w:type="dxa"/>
              <w:left w:w="140" w:type="dxa"/>
              <w:right w:w="140" w:type="dxa"/>
            </w:tcMar>
          </w:tcPr>
          <w:p>
            <w:pPr>
              <w:spacing w:line="276" w:lineRule="auto" w:after="40"/>
            </w:pPr>
            <w:r>
              <w:rPr>
                <w:rFonts w:ascii="Calibri" w:hAnsi="Calibri"/>
                <w:color w:val="2C3E50"/>
                <w:sz w:val="19"/>
              </w:rPr>
              <w:t>Altamente eficiente (recursos compartidos).</w:t>
            </w:r>
          </w:p>
        </w:tc>
      </w:tr>
      <w:tr>
        <w:tc>
          <w:tcPr>
            <w:tcW w:type="dxa" w:w="2592"/>
            <w:shd w:fill="F4F6F9"/>
            <w:tcMar>
              <w:top w:w="100" w:type="dxa"/>
              <w:bottom w:w="100" w:type="dxa"/>
              <w:left w:w="140" w:type="dxa"/>
              <w:right w:w="140" w:type="dxa"/>
            </w:tcMar>
          </w:tcPr>
          <w:p>
            <w:pPr>
              <w:spacing w:line="276" w:lineRule="auto" w:after="40"/>
            </w:pPr>
            <w:r>
              <w:rPr>
                <w:rFonts w:ascii="Calibri" w:hAnsi="Calibri"/>
                <w:color w:val="2C3E50"/>
                <w:sz w:val="19"/>
              </w:rPr>
              <w:t>Garantía de Retardo</w:t>
            </w:r>
          </w:p>
        </w:tc>
        <w:tc>
          <w:tcPr>
            <w:tcW w:type="dxa" w:w="3312"/>
            <w:shd w:fill="F4F6F9"/>
            <w:tcMar>
              <w:top w:w="100" w:type="dxa"/>
              <w:bottom w:w="100" w:type="dxa"/>
              <w:left w:w="140" w:type="dxa"/>
              <w:right w:w="140" w:type="dxa"/>
            </w:tcMar>
          </w:tcPr>
          <w:p>
            <w:pPr>
              <w:spacing w:line="276" w:lineRule="auto" w:after="40"/>
            </w:pPr>
            <w:r>
              <w:rPr>
                <w:rFonts w:ascii="Calibri" w:hAnsi="Calibri"/>
                <w:color w:val="2C3E50"/>
                <w:sz w:val="19"/>
              </w:rPr>
              <w:t>Constante (retardo determinista sin fluctuación/jitter).</w:t>
            </w:r>
          </w:p>
        </w:tc>
        <w:tc>
          <w:tcPr>
            <w:tcW w:type="dxa" w:w="3456"/>
            <w:shd w:fill="F4F6F9"/>
            <w:tcMar>
              <w:top w:w="100" w:type="dxa"/>
              <w:bottom w:w="100" w:type="dxa"/>
              <w:left w:w="140" w:type="dxa"/>
              <w:right w:w="140" w:type="dxa"/>
            </w:tcMar>
          </w:tcPr>
          <w:p>
            <w:pPr>
              <w:spacing w:line="276" w:lineRule="auto" w:after="40"/>
            </w:pPr>
            <w:r>
              <w:rPr>
                <w:rFonts w:ascii="Calibri" w:hAnsi="Calibri"/>
                <w:color w:val="2C3E50"/>
                <w:sz w:val="19"/>
              </w:rPr>
              <w:t>Variable (retardo estocástico y presencia de jitter).</w:t>
            </w:r>
          </w:p>
        </w:tc>
      </w:tr>
      <w:tr>
        <w:tc>
          <w:tcPr>
            <w:tcW w:type="dxa" w:w="2592"/>
            <w:shd w:fill="FFFFFF"/>
            <w:tcMar>
              <w:top w:w="100" w:type="dxa"/>
              <w:bottom w:w="100" w:type="dxa"/>
              <w:left w:w="140" w:type="dxa"/>
              <w:right w:w="140" w:type="dxa"/>
            </w:tcMar>
          </w:tcPr>
          <w:p>
            <w:pPr>
              <w:spacing w:line="276" w:lineRule="auto" w:after="40"/>
            </w:pPr>
            <w:r>
              <w:rPr>
                <w:rFonts w:ascii="Calibri" w:hAnsi="Calibri"/>
                <w:color w:val="2C3E50"/>
                <w:sz w:val="19"/>
              </w:rPr>
              <w:t>Ejemplo Típico</w:t>
            </w:r>
          </w:p>
        </w:tc>
        <w:tc>
          <w:tcPr>
            <w:tcW w:type="dxa" w:w="3312"/>
            <w:shd w:fill="FFFFFF"/>
            <w:tcMar>
              <w:top w:w="100" w:type="dxa"/>
              <w:bottom w:w="100" w:type="dxa"/>
              <w:left w:w="140" w:type="dxa"/>
              <w:right w:w="140" w:type="dxa"/>
            </w:tcMar>
          </w:tcPr>
          <w:p>
            <w:pPr>
              <w:spacing w:line="276" w:lineRule="auto" w:after="40"/>
            </w:pPr>
            <w:r>
              <w:rPr>
                <w:rFonts w:ascii="Calibri" w:hAnsi="Calibri"/>
                <w:color w:val="2C3E50"/>
                <w:sz w:val="19"/>
              </w:rPr>
              <w:t>Telefonía tradicional (PSTN), redes GSM clásicas.</w:t>
            </w:r>
          </w:p>
        </w:tc>
        <w:tc>
          <w:tcPr>
            <w:tcW w:type="dxa" w:w="3456"/>
            <w:shd w:fill="FFFFFF"/>
            <w:tcMar>
              <w:top w:w="100" w:type="dxa"/>
              <w:bottom w:w="100" w:type="dxa"/>
              <w:left w:w="140" w:type="dxa"/>
              <w:right w:w="140" w:type="dxa"/>
            </w:tcMar>
          </w:tcPr>
          <w:p>
            <w:pPr>
              <w:spacing w:line="276" w:lineRule="auto" w:after="40"/>
            </w:pPr>
            <w:r>
              <w:rPr>
                <w:rFonts w:ascii="Calibri" w:hAnsi="Calibri"/>
                <w:color w:val="2C3E50"/>
                <w:sz w:val="19"/>
              </w:rPr>
              <w:t>Protocolo IP en Internet, Ethernet.</w:t>
            </w:r>
          </w:p>
        </w:tc>
      </w:tr>
    </w:tbl>
    <w:p/>
    <w:p>
      <w:pPr>
        <w:keepNext/>
        <w:spacing w:before="240" w:after="80"/>
      </w:pPr>
      <w:r>
        <w:rPr>
          <w:rFonts w:ascii="Calibri" w:hAnsi="Calibri"/>
          <w:b/>
          <w:color w:val="2980B9"/>
          <w:sz w:val="26"/>
        </w:rPr>
        <w:t>3.2. Orientación a la Conexión vs. Confiabilidad</w:t>
      </w:r>
    </w:p>
    <w:p>
      <w:r>
        <w:t xml:space="preserve">Uno de los conceptos más críticos en ingeniería de redes es desvincular la noción de </w:t>
      </w:r>
      <w:r>
        <w:rPr>
          <w:b/>
        </w:rPr>
        <w:t>servicio con conexión</w:t>
      </w:r>
      <w:r>
        <w:t xml:space="preserve"> de la noción de </w:t>
      </w:r>
      <w:r>
        <w:rPr>
          <w:b/>
        </w:rPr>
        <w:t>confiabilidad (confirmación de entrega)</w:t>
      </w:r>
      <w:r>
        <w:t>. Son dos dimensiones ortogonales:</w:t>
      </w:r>
    </w:p>
    <w:p>
      <w:pPr>
        <w:pStyle w:val="ListBullet"/>
        <w:spacing w:after="80"/>
      </w:pPr>
      <w:r>
        <w:rPr>
          <w:b/>
        </w:rPr>
        <w:t xml:space="preserve">Servicio Orientado a la Conexión (Connection-Oriented): </w:t>
      </w:r>
      <w:r>
        <w:t>Implica una máquina de estados compartida entre los interlocutores. Requiere tres pasos formales: negociación/apertura de la conexión (handshake), intercambio de datos estructurado y cierre formal. Permite mantener contexto, números de secuencia y estado de sesión.</w:t>
      </w:r>
    </w:p>
    <w:p>
      <w:pPr>
        <w:pStyle w:val="ListBullet"/>
        <w:spacing w:after="80"/>
      </w:pPr>
      <w:r>
        <w:rPr>
          <w:b/>
        </w:rPr>
        <w:t xml:space="preserve">Servicio Sin Conexión (Connectionless): </w:t>
      </w:r>
      <w:r>
        <w:t>Cada paquete (datagrama) se inyecta en la red de manera aislada sin negociación previa. Los nodos intermedios no mantienen estado alguno sobre la conversación.</w:t>
      </w:r>
    </w:p>
    <w:p>
      <w:pPr>
        <w:pStyle w:val="ListBullet"/>
        <w:spacing w:after="80"/>
      </w:pPr>
      <w:r>
        <w:rPr>
          <w:b/>
        </w:rPr>
        <w:t xml:space="preserve">Servicio Confiable (Reliable): </w:t>
      </w:r>
      <w:r>
        <w:t>Garantiza la entrega ordenada y libre de errores de los datos mediante acuses de recibo (ACKs) y retransmisiones automáticas ante pérdidas.</w:t>
      </w:r>
    </w:p>
    <w:p>
      <w:pPr>
        <w:pStyle w:val="ListBullet"/>
        <w:spacing w:after="80"/>
      </w:pPr>
      <w:r>
        <w:rPr>
          <w:b/>
        </w:rPr>
        <w:t xml:space="preserve">Servicio No Confiable / Mejor Esfuerzo (Best Effort): </w:t>
      </w:r>
      <w:r>
        <w:t>La red intenta entregar el paquete, pero no provee garantías de llegada, ni orden, ni notificación obligatoria de descarte.</w:t>
      </w:r>
    </w:p>
    <w:tbl>
      <w:tblPr>
        <w:tblW w:type="auto" w:w="0"/>
        <w:jc w:val="center"/>
        <w:tblLayout w:type="fixed"/>
        <w:tblLook w:firstColumn="1" w:firstRow="1" w:lastColumn="0" w:lastRow="0" w:noHBand="0" w:noVBand="1" w:val="04A0"/>
      </w:tblPr>
      <w:tblGrid>
        <w:gridCol w:w="9360"/>
      </w:tblGrid>
      <w:tr>
        <w:tc>
          <w:tcPr>
            <w:tcW w:type="dxa" w:w="9360"/>
            <w:shd w:fill="EBF5FB"/>
            <w:tcMar>
              <w:top w:w="140" w:type="dxa"/>
              <w:bottom w:w="140" w:type="dxa"/>
              <w:left w:w="200" w:type="dxa"/>
              <w:right w:w="150" w:type="dxa"/>
            </w:tcMar>
            <w:tcBorders>
              <w:top w:val="none"/>
              <w:left w:val="single" w:sz="24" w:space="0" w:color="2980B9"/>
              <w:bottom w:val="none"/>
              <w:right w:val="none"/>
            </w:tcBorders>
          </w:tcPr>
          <w:p>
            <w:pPr>
              <w:spacing w:after="60" w:line="276" w:lineRule="auto"/>
            </w:pPr>
            <w:r>
              <w:rPr>
                <w:rFonts w:ascii="Calibri" w:hAnsi="Calibri"/>
                <w:b/>
                <w:color w:val="182B49"/>
                <w:sz w:val="21"/>
              </w:rPr>
              <w:t>📌 PRINCIPIO ARQUITECTÓNICO END-TO-END</w:t>
              <w:br/>
            </w:r>
            <w:r>
              <w:rPr>
                <w:rFonts w:ascii="Calibri" w:hAnsi="Calibri"/>
                <w:color w:val="2C3E50"/>
                <w:sz w:val="20"/>
              </w:rPr>
              <w:t>Un protocolo de nivel superior (Capa 4 - TCP) puede implementar un servicio orientado a la conexión y 100% confiable sobre una red subyacente que es totalmente sin conexión y no confiable (Capa 3 - IP).</w:t>
            </w:r>
          </w:p>
          <w:p>
            <w:pPr>
              <w:spacing w:after="60" w:line="276" w:lineRule="auto"/>
            </w:pPr>
            <w:r>
              <w:rPr>
                <w:rFonts w:ascii="Calibri" w:hAnsi="Calibri"/>
                <w:color w:val="2C3E50"/>
                <w:sz w:val="20"/>
              </w:rPr>
              <w:t>La confiabilidad no requiere cables físicos confiables; se construye algorítmicamente mediante temporizadores (timers), sumas de verificación (checksums) y retransmisiones en los extremos (End-to-End Principle).</w:t>
            </w:r>
          </w:p>
        </w:tc>
      </w:tr>
    </w:tbl>
    <w:p/>
    <w:p>
      <w:pPr>
        <w:keepNext/>
        <w:spacing w:before="240" w:after="80"/>
      </w:pPr>
      <w:r>
        <w:rPr>
          <w:rFonts w:ascii="Calibri" w:hAnsi="Calibri"/>
          <w:b/>
          <w:color w:val="2980B9"/>
          <w:sz w:val="26"/>
        </w:rPr>
        <w:t>3.3. Estudio de Caso: El Servicio de Nombres de Dominio (DNS)</w:t>
      </w:r>
    </w:p>
    <w:p>
      <w:r>
        <w:t>El protocolo DNS ilustra perfectamente por qué ciertos servicios de red operan intencionalmente sin conexión (sobre UDP en el puerto 53):</w:t>
      </w:r>
    </w:p>
    <w:p>
      <w:pPr>
        <w:pStyle w:val="ListBullet"/>
      </w:pPr>
      <w:r>
        <w:rPr>
          <w:b/>
        </w:rPr>
        <w:t xml:space="preserve">Patrón de interacción Request-Reply: </w:t>
      </w:r>
      <w:r>
        <w:t>Una consulta típica consiste en una única pregunta (ej. '¿Cuál es la IP de www.ejemplo.com?') y una única respuesta corta.</w:t>
      </w:r>
    </w:p>
    <w:p>
      <w:pPr>
        <w:pStyle w:val="ListBullet"/>
      </w:pPr>
      <w:r>
        <w:rPr>
          <w:b/>
        </w:rPr>
        <w:t xml:space="preserve">Sobrecarga del Handshake: </w:t>
      </w:r>
      <w:r>
        <w:t>Establecer una conexión TCP requiere un intercambio de 3 vías (3-Way Handshake: SYN, SYN-ACK, ACK) antes de poder enviar el primer byte útil. Para una consulta de 50 bytes, triplicar el tráfico y duplicar el RTT (Round Trip Time) representa un desperdicio masivo de ancho de banda y capacidad de procesamiento en servidores mundiales.</w:t>
      </w:r>
    </w:p>
    <w:p>
      <w:pPr>
        <w:pStyle w:val="ListBullet"/>
      </w:pPr>
      <w:r>
        <w:rPr>
          <w:b/>
        </w:rPr>
        <w:t xml:space="preserve">Manejo de Pérdidas a Nivel Aplicación: </w:t>
      </w:r>
      <w:r>
        <w:t>Si el datagrama UDP de consulta o respuesta se pierde, el cliente simplemente dispara un temporizador y reintenta la consulta. No se requiere mantener tablas de estado de conexión en los servidores raíz o autoritativos.</w:t>
      </w:r>
    </w:p>
    <w:p>
      <w:pPr>
        <w:pStyle w:val="ListBullet"/>
      </w:pPr>
      <w:r>
        <w:rPr>
          <w:b/>
        </w:rPr>
        <w:t xml:space="preserve">Arquitectura Distribuida y Jerárquica: </w:t>
      </w:r>
      <w:r>
        <w:t>La base de datos DNS no reside en un servidor central. Está particionada mundialmente mediante zonas, registros (A, AAAA, CNAME, MX, NS) y mecanismos de caché con tiempos de vida configurables (TTL - Time to Live).</w:t>
      </w:r>
    </w:p>
    <w:p>
      <w:pPr>
        <w:keepNext/>
        <w:spacing w:before="320" w:after="120"/>
      </w:pPr>
      <w:r>
        <w:rPr>
          <w:rFonts w:ascii="Calibri" w:hAnsi="Calibri"/>
          <w:b/>
          <w:color w:val="182B49"/>
          <w:sz w:val="32"/>
        </w:rPr>
        <w:t>4. Redes Inalámbricas y Telefonía Móvil</w:t>
      </w:r>
    </w:p>
    <w:p>
      <w:pPr>
        <w:keepNext/>
        <w:spacing w:before="240" w:after="80"/>
      </w:pPr>
      <w:r>
        <w:rPr>
          <w:rFonts w:ascii="Calibri" w:hAnsi="Calibri"/>
          <w:b/>
          <w:color w:val="2980B9"/>
          <w:sz w:val="26"/>
        </w:rPr>
        <w:t>4.1. Evolución Celular: De 1G a 5G</w:t>
      </w:r>
    </w:p>
    <w:p>
      <w:r>
        <w:t>Las redes móviles nacieron adaptadas a la telefonía analógica de voz y evolucionaron hacia arquitecturas convergentes de transporte de datos puro:</w:t>
      </w:r>
    </w:p>
    <w:p>
      <w:pPr>
        <w:pStyle w:val="ListBullet"/>
        <w:spacing w:after="60"/>
      </w:pPr>
      <w:r>
        <w:rPr>
          <w:b/>
        </w:rPr>
        <w:t xml:space="preserve">1G (Primera Generación): </w:t>
      </w:r>
      <w:r>
        <w:t>Comunicaciones de voz analógicas (AMPS/NMT). Uso de modulación en frecuencia, sin cifrado, susceptible a clonación y sin soporte de datos.</w:t>
      </w:r>
    </w:p>
    <w:p>
      <w:pPr>
        <w:pStyle w:val="ListBullet"/>
        <w:spacing w:after="60"/>
      </w:pPr>
      <w:r>
        <w:rPr>
          <w:b/>
        </w:rPr>
        <w:t xml:space="preserve">2G (Segunda Generación - GSM / D-AMPS): </w:t>
      </w:r>
      <w:r>
        <w:t>Digitalización de la voz. Introducción de conmutación de circuitos digitales y los primeros servicios de mensajería SMS (Short Message Service). Posterior agregado de paquetes con GPRS/EDGE (2.5G).</w:t>
      </w:r>
    </w:p>
    <w:p>
      <w:pPr>
        <w:pStyle w:val="ListBullet"/>
        <w:spacing w:after="60"/>
      </w:pPr>
      <w:r>
        <w:rPr>
          <w:b/>
        </w:rPr>
        <w:t xml:space="preserve">3G (Tercera Generación - UMTS / WCDMA): </w:t>
      </w:r>
      <w:r>
        <w:t>Convergencia de voz y datos de banda ancha móvil. Permitió la navegación web móvil y los primeros servicios multimedia.</w:t>
      </w:r>
    </w:p>
    <w:p>
      <w:pPr>
        <w:pStyle w:val="ListBullet"/>
        <w:spacing w:after="60"/>
      </w:pPr>
      <w:r>
        <w:rPr>
          <w:b/>
        </w:rPr>
        <w:t xml:space="preserve">4G (Cuarta Generación - LTE / LTE-Advanced): </w:t>
      </w:r>
      <w:r>
        <w:t>Arquitectura totalmente IP (All-IP Network). Se abandona la conmutación de circuitos en el núcleo; la voz pasa a ser transportada como paquetes IP (VoLTE). Empleo de OFDM y MIMO.</w:t>
      </w:r>
    </w:p>
    <w:p>
      <w:pPr>
        <w:pStyle w:val="ListBullet"/>
        <w:spacing w:after="60"/>
      </w:pPr>
      <w:r>
        <w:rPr>
          <w:b/>
        </w:rPr>
        <w:t xml:space="preserve">5G (Quinta Generación - NR): </w:t>
      </w:r>
      <w:r>
        <w:t>Ultra alta velocidad (eMBB), comunicaciones masivas de máquinas e IoT (mMTC) y ultra baja latencia y alta confiabilidad (URLLC). Utilización de bandas de ondas milimétricas (mmWave) y Network Slicing.</w:t>
      </w:r>
    </w:p>
    <w:p>
      <w:pPr>
        <w:keepNext/>
        <w:spacing w:before="240" w:after="80"/>
      </w:pPr>
      <w:r>
        <w:rPr>
          <w:rFonts w:ascii="Calibri" w:hAnsi="Calibri"/>
          <w:b/>
          <w:color w:val="2980B9"/>
          <w:sz w:val="26"/>
        </w:rPr>
        <w:t>4.2. Estándar Wi-Fi (IEEE 802.11) y Bandas de Espectro ISM</w:t>
      </w:r>
    </w:p>
    <w:p>
      <w:r>
        <w:t xml:space="preserve">A diferencia de las redes móviles que operan en espectro licenciado con exclusividad geográfica regulada por el Estado, las redes de área local inalámbricas (WLAN - Wi-Fi) hacen uso de las </w:t>
      </w:r>
      <w:r>
        <w:rPr>
          <w:b/>
        </w:rPr>
        <w:t>Bandas ISM (Industrial, Scientific, and Medical)</w:t>
      </w:r>
      <w:r>
        <w:t xml:space="preserve"> (2.4 GHz, 5 GHz y 6 GHz):</w:t>
      </w:r>
    </w:p>
    <w:p>
      <w:pPr>
        <w:pStyle w:val="ListBullet"/>
      </w:pPr>
      <w:r>
        <w:rPr>
          <w:b/>
        </w:rPr>
        <w:t xml:space="preserve">Uso No Licenciado pero Regulado: </w:t>
      </w:r>
      <w:r>
        <w:t>Cualquier individuo puede instalar un Access Point (AP) sin pagar una licencia estatal, pero los equipos deben cumplir límites estrictos de potencia radiada isotrópica equivalente (EIRP) para minimizar interferencias destructivas.</w:t>
      </w:r>
    </w:p>
    <w:p>
      <w:pPr>
        <w:pStyle w:val="ListBullet"/>
      </w:pPr>
      <w:r>
        <w:rPr>
          <w:b/>
        </w:rPr>
        <w:t xml:space="preserve">Topologías de Red: </w:t>
      </w:r>
      <w:r>
        <w:t>Modo Infraestructura (estaciones clientes conectadas a un AP central) y Modo Ad-Hoc (comunicación directa peer-to-peer sin punto de acceso intermedio).</w:t>
      </w:r>
    </w:p>
    <w:p>
      <w:pPr>
        <w:keepNext/>
        <w:spacing w:before="240" w:after="80"/>
      </w:pPr>
      <w:r>
        <w:rPr>
          <w:rFonts w:ascii="Calibri" w:hAnsi="Calibri"/>
          <w:b/>
          <w:color w:val="2980B9"/>
          <w:sz w:val="26"/>
        </w:rPr>
        <w:t>4.3. Fenómenos Físicos y Protocolos de Acceso al Medio (MAC)</w:t>
      </w:r>
    </w:p>
    <w:p>
      <w:r>
        <w:t>La propagación de radiofrecuencia en interiores y exteriores presenta complejidades determinantes:</w:t>
      </w:r>
    </w:p>
    <w:p>
      <w:r>
        <w:rPr>
          <w:b/>
        </w:rPr>
        <w:t xml:space="preserve">• Desvanecimiento por Múltiples Trayectorias (Multipath Fading): </w:t>
      </w:r>
      <w:r>
        <w:t>Las ondas de radio se reflejan, difractan y dispersan en paredes, suelo y obstáculos. El receptor recibe la señal directa sumada a múltiples copias retardadas y desfasadas, lo que genera interferencia intersimbólica (ISI) y señales 'fantasma'. Las tecnologías modernas resuelven esto mediante ecualización adaptativa y antenas MIMO.</w:t>
      </w:r>
    </w:p>
    <w:p>
      <w:r>
        <w:rPr>
          <w:b/>
        </w:rPr>
        <w:t xml:space="preserve">• Problema de la Estación Oculta (Hidden Node Problem): </w:t>
      </w:r>
      <w:r>
        <w:t>Ocurre cuando la estación A puede comunicarse con el Access Point B, y la estación C también puede comunicarse con B, pero A y C están fuera de su alcance mutuo. Si A y C 'escuchan el canal' para verificar si está libre, ninguna detectará la transmisión de la otra y ambas transmitirán hacia B simultáneamente, provocando una colisión destructiva en B.</w:t>
      </w:r>
    </w:p>
    <w:p>
      <w:r>
        <w:rPr>
          <w:b/>
        </w:rPr>
        <w:t xml:space="preserve">• Protocolo CSMA/CA (Carrier Sense Multiple Access with Collision Avoidance): </w:t>
      </w:r>
      <w:r>
        <w:t>En redes inalámbricas no es viable detectar colisiones mientras se transmite (CSMA/CD de Ethernet) debido a que la potencia del transmisor propio satura el receptor local. Wi-Fi implementa prevención de colisiones mediante temporizadores de espera aleatoria (Backoff), acuses de recibo a nivel de enlace y el mecanismo opcional RTS/CTS (Request to Send / Clear to Send) para mitigar el problema de estación oculta.</w:t>
      </w:r>
    </w:p>
    <w:p>
      <w:pPr>
        <w:keepNext/>
        <w:spacing w:before="320" w:after="120"/>
      </w:pPr>
      <w:r>
        <w:rPr>
          <w:rFonts w:ascii="Calibri" w:hAnsi="Calibri"/>
          <w:b/>
          <w:color w:val="182B49"/>
          <w:sz w:val="32"/>
        </w:rPr>
        <w:t>5. Arquitectura en Capas y Pilas Protocolares</w:t>
      </w:r>
    </w:p>
    <w:p>
      <w:pPr>
        <w:keepNext/>
        <w:spacing w:before="240" w:after="80"/>
      </w:pPr>
      <w:r>
        <w:rPr>
          <w:rFonts w:ascii="Calibri" w:hAnsi="Calibri"/>
          <w:b/>
          <w:color w:val="2980B9"/>
          <w:sz w:val="26"/>
        </w:rPr>
        <w:t>5.1. El Principio de Abstracción y Encapsulación</w:t>
      </w:r>
    </w:p>
    <w:p>
      <w:r>
        <w:t xml:space="preserve">Para dominar la enorme complejidad de la comunicación entre sistemas, las redes se estructuran como una </w:t>
      </w:r>
      <w:r>
        <w:rPr>
          <w:b/>
        </w:rPr>
        <w:t>jerarquía de capas</w:t>
      </w:r>
      <w:r>
        <w:t xml:space="preserve">. Cada capa N proporciona servicios específicos a la capa N+1 inmediatamente superior mediante una </w:t>
      </w:r>
      <w:r>
        <w:rPr>
          <w:b/>
        </w:rPr>
        <w:t>interfaz</w:t>
      </w:r>
      <w:r>
        <w:t xml:space="preserve"> bien definida, utilizando a su vez los servicios ofrecidos por la capa N-1.</w:t>
      </w:r>
    </w:p>
    <w:p>
      <w:r>
        <w:t>Durante el proceso de transmisión (descendente):</w:t>
      </w:r>
    </w:p>
    <w:p>
      <w:pPr>
        <w:pStyle w:val="ListBullet"/>
      </w:pPr>
      <w:r>
        <w:t>La Capa de Aplicación genera el mensaje original.</w:t>
      </w:r>
    </w:p>
    <w:p>
      <w:pPr>
        <w:pStyle w:val="ListBullet"/>
      </w:pPr>
      <w:r>
        <w:t xml:space="preserve">La Capa de Transporte toma el mensaje y le adosa un encabezado (Header H4) con números de puerto y control de flujo/secuencia, creando un </w:t>
      </w:r>
      <w:r>
        <w:rPr>
          <w:b/>
        </w:rPr>
        <w:t>Segmento (TCP)</w:t>
      </w:r>
      <w:r>
        <w:t xml:space="preserve"> o Datagrama (UDP).</w:t>
      </w:r>
    </w:p>
    <w:p>
      <w:pPr>
        <w:pStyle w:val="ListBullet"/>
      </w:pPr>
      <w:r>
        <w:t xml:space="preserve">La Capa de Red encapsula el segmento agregando un encabezado de red (Header H3) con direcciones lógicas IP (origen y destino) y tiempo de vida (TTL). Si el tamaño excede la Unidad Máxima de Transferencia (MTU), realiza </w:t>
      </w:r>
      <w:r>
        <w:rPr>
          <w:b/>
        </w:rPr>
        <w:t>fragmentación</w:t>
      </w:r>
      <w:r>
        <w:t xml:space="preserve">, generando paquetes independientes (PDU de Capa 3: </w:t>
      </w:r>
      <w:r>
        <w:rPr>
          <w:b/>
        </w:rPr>
        <w:t>Paquete</w:t>
      </w:r>
      <w:r>
        <w:t>).</w:t>
      </w:r>
    </w:p>
    <w:p>
      <w:pPr>
        <w:pStyle w:val="ListBullet"/>
      </w:pPr>
      <w:r>
        <w:t>La Capa de Enlace de Datos encapsula el paquete añadiendo un encabezado (H2 con direcciones físicas MAC) y un sufijo/cola (Trailer T2) que contiene el código de redundancia cíclica (</w:t>
      </w:r>
      <w:r>
        <w:rPr>
          <w:b/>
        </w:rPr>
        <w:t>CRC</w:t>
      </w:r>
      <w:r>
        <w:t xml:space="preserve">) para verificación e integridad física. El resultado es una </w:t>
      </w:r>
      <w:r>
        <w:rPr>
          <w:b/>
        </w:rPr>
        <w:t>Trama (Frame)</w:t>
      </w:r>
      <w:r>
        <w:t>.</w:t>
      </w:r>
    </w:p>
    <w:p>
      <w:pPr>
        <w:pStyle w:val="ListBullet"/>
      </w:pPr>
      <w:r>
        <w:t xml:space="preserve">La Capa Física modula la trama y la transmite como una secuencia continua de </w:t>
      </w:r>
      <w:r>
        <w:rPr>
          <w:b/>
        </w:rPr>
        <w:t>Bits</w:t>
      </w:r>
      <w:r>
        <w:t xml:space="preserve"> mediante señales electromagnéticas, lumínicas o pulsos de tensión.</w:t>
      </w:r>
    </w:p>
    <w:tbl>
      <w:tblPr>
        <w:tblW w:type="auto" w:w="0"/>
        <w:jc w:val="center"/>
        <w:tblLayout w:type="fixed"/>
        <w:tblLook w:firstColumn="1" w:firstRow="1" w:lastColumn="0" w:lastRow="0" w:noHBand="0" w:noVBand="1" w:val="04A0"/>
      </w:tblPr>
      <w:tblGrid>
        <w:gridCol w:w="9360"/>
      </w:tblGrid>
      <w:tr>
        <w:tc>
          <w:tcPr>
            <w:tcW w:type="dxa" w:w="9360"/>
            <w:shd w:fill="EBF5FB"/>
            <w:tcMar>
              <w:top w:w="140" w:type="dxa"/>
              <w:bottom w:w="140" w:type="dxa"/>
              <w:left w:w="200" w:type="dxa"/>
              <w:right w:w="150" w:type="dxa"/>
            </w:tcMar>
            <w:tcBorders>
              <w:top w:val="none"/>
              <w:left w:val="single" w:sz="24" w:space="0" w:color="2980B9"/>
              <w:bottom w:val="none"/>
              <w:right w:val="none"/>
            </w:tcBorders>
          </w:tcPr>
          <w:p>
            <w:pPr>
              <w:spacing w:after="60" w:line="276" w:lineRule="auto"/>
            </w:pPr>
            <w:r>
              <w:rPr>
                <w:rFonts w:ascii="Calibri" w:hAnsi="Calibri"/>
                <w:b/>
                <w:color w:val="182B49"/>
                <w:sz w:val="21"/>
              </w:rPr>
              <w:t>📌 ANALOGÍA PEDAGÓGICA DE ABSTRACCIÓN EN CAPAS</w:t>
              <w:br/>
            </w:r>
            <w:r>
              <w:rPr>
                <w:rFonts w:ascii="Calibri" w:hAnsi="Calibri"/>
                <w:color w:val="2C3E50"/>
                <w:sz w:val="20"/>
              </w:rPr>
              <w:t>Analogía del Modelo 'Filósofo - Traductor - Secretario':</w:t>
            </w:r>
          </w:p>
          <w:p>
            <w:pPr>
              <w:spacing w:after="60" w:line="276" w:lineRule="auto"/>
            </w:pPr>
            <w:r>
              <w:rPr>
                <w:rFonts w:ascii="Calibri" w:hAnsi="Calibri"/>
                <w:color w:val="2C3E50"/>
                <w:sz w:val="20"/>
              </w:rPr>
              <w:t>Dos filósofos que desean comunicarse pero hablan idiomas distintos (Inglés y Francés) no necesitan aprender el idioma del otro. Cada uno recurre a un traductor (Capa intermedia) que convierte las ideas a un lenguaje acordado (ej. Holandés). Los traductores entregan los textos a secretarios que gestionan el canal físico (correo/WhatsApp). Cada nivel agrega su propio protocolo y metadatos sin que los niveles superiores necesiten conocer los detalles de implementación subyacentes.</w:t>
            </w:r>
          </w:p>
        </w:tc>
      </w:tr>
    </w:tbl>
    <w:p/>
    <w:p>
      <w:pPr>
        <w:keepNext/>
        <w:spacing w:before="240" w:after="80"/>
      </w:pPr>
      <w:r>
        <w:rPr>
          <w:rFonts w:ascii="Calibri" w:hAnsi="Calibri"/>
          <w:b/>
          <w:color w:val="2980B9"/>
          <w:sz w:val="26"/>
        </w:rPr>
        <w:t>5.2. Comparación de Modelos: OSI de 7 Capas vs. Modelo Híbrido de 5 Capas</w:t>
      </w:r>
    </w:p>
    <w:tbl>
      <w:tblPr>
        <w:tblW w:type="auto" w:w="0"/>
        <w:jc w:val="center"/>
        <w:tblLayout w:type="fixed"/>
        <w:tblLook w:firstColumn="1" w:firstRow="1" w:lastColumn="0" w:lastRow="0" w:noHBand="0" w:noVBand="1" w:val="04A0"/>
        <w:tblBorders>
          <w:top w:val="single" w:sz="4" w:space="0" w:color="D0D7DE"/>
          <w:bottom w:val="single" w:sz="6" w:space="0" w:color="182B49"/>
          <w:left w:val="none"/>
          <w:right w:val="none"/>
          <w:insideH w:val="single" w:sz="4" w:space="0" w:color="E1E4E8"/>
          <w:insideV w:val="none"/>
        </w:tblBorders>
      </w:tblPr>
      <w:tblGrid>
        <w:gridCol w:w="1560"/>
        <w:gridCol w:w="1560"/>
        <w:gridCol w:w="1560"/>
        <w:gridCol w:w="1560"/>
        <w:gridCol w:w="1560"/>
        <w:gridCol w:w="1560"/>
      </w:tblGrid>
      <w:tr>
        <w:tc>
          <w:tcPr>
            <w:tcW w:type="dxa" w:w="576"/>
            <w:shd w:fill="182B49"/>
            <w:tcMar>
              <w:top w:w="120" w:type="dxa"/>
              <w:bottom w:w="120" w:type="dxa"/>
              <w:left w:w="140" w:type="dxa"/>
              <w:right w:w="140" w:type="dxa"/>
            </w:tcMar>
          </w:tcPr>
          <w:p>
            <w:pPr>
              <w:jc w:val="left"/>
            </w:pPr>
            <w:r>
              <w:rPr>
                <w:rFonts w:ascii="Calibri" w:hAnsi="Calibri"/>
                <w:b/>
                <w:color w:val="FFFFFF"/>
                <w:sz w:val="20"/>
              </w:rPr>
              <w:t>N°</w:t>
            </w:r>
          </w:p>
        </w:tc>
        <w:tc>
          <w:tcPr>
            <w:tcW w:type="dxa" w:w="1728"/>
            <w:shd w:fill="182B49"/>
            <w:tcMar>
              <w:top w:w="120" w:type="dxa"/>
              <w:bottom w:w="120" w:type="dxa"/>
              <w:left w:w="140" w:type="dxa"/>
              <w:right w:w="140" w:type="dxa"/>
            </w:tcMar>
          </w:tcPr>
          <w:p>
            <w:pPr>
              <w:jc w:val="left"/>
            </w:pPr>
            <w:r>
              <w:rPr>
                <w:rFonts w:ascii="Calibri" w:hAnsi="Calibri"/>
                <w:b/>
                <w:color w:val="FFFFFF"/>
                <w:sz w:val="20"/>
              </w:rPr>
              <w:t>Modelo OSI (7 Capas)</w:t>
            </w:r>
          </w:p>
        </w:tc>
        <w:tc>
          <w:tcPr>
            <w:tcW w:type="dxa" w:w="2016"/>
            <w:shd w:fill="182B49"/>
            <w:tcMar>
              <w:top w:w="120" w:type="dxa"/>
              <w:bottom w:w="120" w:type="dxa"/>
              <w:left w:w="140" w:type="dxa"/>
              <w:right w:w="140" w:type="dxa"/>
            </w:tcMar>
          </w:tcPr>
          <w:p>
            <w:pPr>
              <w:jc w:val="left"/>
            </w:pPr>
            <w:r>
              <w:rPr>
                <w:rFonts w:ascii="Calibri" w:hAnsi="Calibri"/>
                <w:b/>
                <w:color w:val="FFFFFF"/>
                <w:sz w:val="20"/>
              </w:rPr>
              <w:t>Modelo Híbrido (Tanenbaum - 5 Capas)</w:t>
            </w:r>
          </w:p>
        </w:tc>
        <w:tc>
          <w:tcPr>
            <w:tcW w:type="dxa" w:w="1584"/>
            <w:shd w:fill="182B49"/>
            <w:tcMar>
              <w:top w:w="120" w:type="dxa"/>
              <w:bottom w:w="120" w:type="dxa"/>
              <w:left w:w="140" w:type="dxa"/>
              <w:right w:w="140" w:type="dxa"/>
            </w:tcMar>
          </w:tcPr>
          <w:p>
            <w:pPr>
              <w:jc w:val="left"/>
            </w:pPr>
            <w:r>
              <w:rPr>
                <w:rFonts w:ascii="Calibri" w:hAnsi="Calibri"/>
                <w:b/>
                <w:color w:val="FFFFFF"/>
                <w:sz w:val="20"/>
              </w:rPr>
              <w:t>PDU</w:t>
            </w:r>
          </w:p>
        </w:tc>
        <w:tc>
          <w:tcPr>
            <w:tcW w:type="dxa" w:w="1872"/>
            <w:shd w:fill="182B49"/>
            <w:tcMar>
              <w:top w:w="120" w:type="dxa"/>
              <w:bottom w:w="120" w:type="dxa"/>
              <w:left w:w="140" w:type="dxa"/>
              <w:right w:w="140" w:type="dxa"/>
            </w:tcMar>
          </w:tcPr>
          <w:p>
            <w:pPr>
              <w:jc w:val="left"/>
            </w:pPr>
            <w:r>
              <w:rPr>
                <w:rFonts w:ascii="Calibri" w:hAnsi="Calibri"/>
                <w:b/>
                <w:color w:val="FFFFFF"/>
                <w:sz w:val="20"/>
              </w:rPr>
              <w:t>Direccionamiento / Identificador</w:t>
            </w:r>
          </w:p>
        </w:tc>
        <w:tc>
          <w:tcPr>
            <w:tcW w:type="dxa" w:w="1584"/>
            <w:shd w:fill="182B49"/>
            <w:tcMar>
              <w:top w:w="120" w:type="dxa"/>
              <w:bottom w:w="120" w:type="dxa"/>
              <w:left w:w="140" w:type="dxa"/>
              <w:right w:w="140" w:type="dxa"/>
            </w:tcMar>
          </w:tcPr>
          <w:p>
            <w:pPr>
              <w:jc w:val="left"/>
            </w:pPr>
            <w:r>
              <w:rPr>
                <w:rFonts w:ascii="Calibri" w:hAnsi="Calibri"/>
                <w:b/>
                <w:color w:val="FFFFFF"/>
                <w:sz w:val="20"/>
              </w:rPr>
              <w:t>Dispositivos Típicos</w:t>
            </w:r>
          </w:p>
        </w:tc>
      </w:tr>
      <w:tr>
        <w:tc>
          <w:tcPr>
            <w:tcW w:type="dxa" w:w="576"/>
            <w:shd w:fill="FFFFFF"/>
            <w:tcMar>
              <w:top w:w="100" w:type="dxa"/>
              <w:bottom w:w="100" w:type="dxa"/>
              <w:left w:w="140" w:type="dxa"/>
              <w:right w:w="140" w:type="dxa"/>
            </w:tcMar>
          </w:tcPr>
          <w:p>
            <w:pPr>
              <w:spacing w:line="276" w:lineRule="auto" w:after="40"/>
            </w:pPr>
            <w:r>
              <w:rPr>
                <w:rFonts w:ascii="Calibri" w:hAnsi="Calibri"/>
                <w:color w:val="2C3E50"/>
                <w:sz w:val="19"/>
              </w:rPr>
              <w:t>5</w:t>
            </w:r>
          </w:p>
        </w:tc>
        <w:tc>
          <w:tcPr>
            <w:tcW w:type="dxa" w:w="1728"/>
            <w:shd w:fill="FFFFFF"/>
            <w:tcMar>
              <w:top w:w="100" w:type="dxa"/>
              <w:bottom w:w="100" w:type="dxa"/>
              <w:left w:w="140" w:type="dxa"/>
              <w:right w:w="140" w:type="dxa"/>
            </w:tcMar>
          </w:tcPr>
          <w:p>
            <w:pPr>
              <w:spacing w:line="276" w:lineRule="auto" w:after="40"/>
            </w:pPr>
            <w:r>
              <w:rPr>
                <w:rFonts w:ascii="Calibri" w:hAnsi="Calibri"/>
                <w:color w:val="2C3E50"/>
                <w:sz w:val="19"/>
              </w:rPr>
              <w:t>Aplicación</w:t>
            </w:r>
          </w:p>
        </w:tc>
        <w:tc>
          <w:tcPr>
            <w:tcW w:type="dxa" w:w="2016"/>
            <w:shd w:fill="FFFFFF"/>
            <w:tcMar>
              <w:top w:w="100" w:type="dxa"/>
              <w:bottom w:w="100" w:type="dxa"/>
              <w:left w:w="140" w:type="dxa"/>
              <w:right w:w="140" w:type="dxa"/>
            </w:tcMar>
          </w:tcPr>
          <w:p>
            <w:pPr>
              <w:spacing w:line="276" w:lineRule="auto" w:after="40"/>
            </w:pPr>
            <w:r>
              <w:rPr>
                <w:rFonts w:ascii="Calibri" w:hAnsi="Calibri"/>
                <w:color w:val="2C3E50"/>
                <w:sz w:val="19"/>
              </w:rPr>
              <w:t>Aplicación (Engloba Sesión y Presentación)</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Mensaje / Datos</w:t>
            </w:r>
          </w:p>
        </w:tc>
        <w:tc>
          <w:tcPr>
            <w:tcW w:type="dxa" w:w="1872"/>
            <w:shd w:fill="FFFFFF"/>
            <w:tcMar>
              <w:top w:w="100" w:type="dxa"/>
              <w:bottom w:w="100" w:type="dxa"/>
              <w:left w:w="140" w:type="dxa"/>
              <w:right w:w="140" w:type="dxa"/>
            </w:tcMar>
          </w:tcPr>
          <w:p>
            <w:pPr>
              <w:spacing w:line="276" w:lineRule="auto" w:after="40"/>
            </w:pPr>
            <w:r>
              <w:rPr>
                <w:rFonts w:ascii="Calibri" w:hAnsi="Calibri"/>
                <w:color w:val="2C3E50"/>
                <w:sz w:val="19"/>
              </w:rPr>
              <w:t>URL, FQDN, Nombres de Servicio</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Hosts, Proxies, Gateways</w:t>
            </w:r>
          </w:p>
        </w:tc>
      </w:tr>
      <w:tr>
        <w:tc>
          <w:tcPr>
            <w:tcW w:type="dxa" w:w="576"/>
            <w:shd w:fill="F4F6F9"/>
            <w:tcMar>
              <w:top w:w="100" w:type="dxa"/>
              <w:bottom w:w="100" w:type="dxa"/>
              <w:left w:w="140" w:type="dxa"/>
              <w:right w:w="140" w:type="dxa"/>
            </w:tcMar>
          </w:tcPr>
          <w:p>
            <w:pPr>
              <w:spacing w:line="276" w:lineRule="auto" w:after="40"/>
            </w:pPr>
            <w:r>
              <w:rPr>
                <w:rFonts w:ascii="Calibri" w:hAnsi="Calibri"/>
                <w:color w:val="2C3E50"/>
                <w:sz w:val="19"/>
              </w:rPr>
              <w:t>-</w:t>
            </w:r>
          </w:p>
        </w:tc>
        <w:tc>
          <w:tcPr>
            <w:tcW w:type="dxa" w:w="1728"/>
            <w:shd w:fill="F4F6F9"/>
            <w:tcMar>
              <w:top w:w="100" w:type="dxa"/>
              <w:bottom w:w="100" w:type="dxa"/>
              <w:left w:w="140" w:type="dxa"/>
              <w:right w:w="140" w:type="dxa"/>
            </w:tcMar>
          </w:tcPr>
          <w:p>
            <w:pPr>
              <w:spacing w:line="276" w:lineRule="auto" w:after="40"/>
            </w:pPr>
            <w:r>
              <w:rPr>
                <w:rFonts w:ascii="Calibri" w:hAnsi="Calibri"/>
                <w:color w:val="2C3E50"/>
                <w:sz w:val="19"/>
              </w:rPr>
              <w:t>Presentación</w:t>
            </w:r>
          </w:p>
        </w:tc>
        <w:tc>
          <w:tcPr>
            <w:tcW w:type="dxa" w:w="2016"/>
            <w:shd w:fill="F4F6F9"/>
            <w:tcMar>
              <w:top w:w="100" w:type="dxa"/>
              <w:bottom w:w="100" w:type="dxa"/>
              <w:left w:w="140" w:type="dxa"/>
              <w:right w:w="140" w:type="dxa"/>
            </w:tcMar>
          </w:tcPr>
          <w:p>
            <w:pPr>
              <w:spacing w:line="276" w:lineRule="auto" w:after="40"/>
            </w:pPr>
            <w:r>
              <w:rPr>
                <w:rFonts w:ascii="Calibri" w:hAnsi="Calibri"/>
                <w:color w:val="2C3E50"/>
                <w:sz w:val="19"/>
              </w:rPr>
              <w:t>[Absorbida en Capa de Aplicación]</w:t>
            </w:r>
          </w:p>
        </w:tc>
        <w:tc>
          <w:tcPr>
            <w:tcW w:type="dxa" w:w="1584"/>
            <w:shd w:fill="F4F6F9"/>
            <w:tcMar>
              <w:top w:w="100" w:type="dxa"/>
              <w:bottom w:w="100" w:type="dxa"/>
              <w:left w:w="140" w:type="dxa"/>
              <w:right w:w="140" w:type="dxa"/>
            </w:tcMar>
          </w:tcPr>
          <w:p>
            <w:pPr>
              <w:spacing w:line="276" w:lineRule="auto" w:after="40"/>
            </w:pPr>
            <w:r>
              <w:rPr>
                <w:rFonts w:ascii="Calibri" w:hAnsi="Calibri"/>
                <w:color w:val="2C3E50"/>
                <w:sz w:val="19"/>
              </w:rPr>
              <w:t>-</w:t>
            </w:r>
          </w:p>
        </w:tc>
        <w:tc>
          <w:tcPr>
            <w:tcW w:type="dxa" w:w="1872"/>
            <w:shd w:fill="F4F6F9"/>
            <w:tcMar>
              <w:top w:w="100" w:type="dxa"/>
              <w:bottom w:w="100" w:type="dxa"/>
              <w:left w:w="140" w:type="dxa"/>
              <w:right w:w="140" w:type="dxa"/>
            </w:tcMar>
          </w:tcPr>
          <w:p>
            <w:pPr>
              <w:spacing w:line="276" w:lineRule="auto" w:after="40"/>
            </w:pPr>
            <w:r>
              <w:rPr>
                <w:rFonts w:ascii="Calibri" w:hAnsi="Calibri"/>
                <w:color w:val="2C3E50"/>
                <w:sz w:val="19"/>
              </w:rPr>
              <w:t>Formatos (JSON, XML, UTF-8, ASN.1)</w:t>
            </w:r>
          </w:p>
        </w:tc>
        <w:tc>
          <w:tcPr>
            <w:tcW w:type="dxa" w:w="1584"/>
            <w:shd w:fill="F4F6F9"/>
            <w:tcMar>
              <w:top w:w="100" w:type="dxa"/>
              <w:bottom w:w="100" w:type="dxa"/>
              <w:left w:w="140" w:type="dxa"/>
              <w:right w:w="140" w:type="dxa"/>
            </w:tcMar>
          </w:tcPr>
          <w:p>
            <w:pPr>
              <w:spacing w:line="276" w:lineRule="auto" w:after="40"/>
            </w:pPr>
            <w:r>
              <w:rPr>
                <w:rFonts w:ascii="Calibri" w:hAnsi="Calibri"/>
                <w:color w:val="2C3E50"/>
                <w:sz w:val="19"/>
              </w:rPr>
              <w:t>Bibliotecas de Software</w:t>
            </w:r>
          </w:p>
        </w:tc>
      </w:tr>
      <w:tr>
        <w:tc>
          <w:tcPr>
            <w:tcW w:type="dxa" w:w="576"/>
            <w:shd w:fill="FFFFFF"/>
            <w:tcMar>
              <w:top w:w="100" w:type="dxa"/>
              <w:bottom w:w="100" w:type="dxa"/>
              <w:left w:w="140" w:type="dxa"/>
              <w:right w:w="140" w:type="dxa"/>
            </w:tcMar>
          </w:tcPr>
          <w:p>
            <w:pPr>
              <w:spacing w:line="276" w:lineRule="auto" w:after="40"/>
            </w:pPr>
            <w:r>
              <w:rPr>
                <w:rFonts w:ascii="Calibri" w:hAnsi="Calibri"/>
                <w:color w:val="2C3E50"/>
                <w:sz w:val="19"/>
              </w:rPr>
              <w:t>-</w:t>
            </w:r>
          </w:p>
        </w:tc>
        <w:tc>
          <w:tcPr>
            <w:tcW w:type="dxa" w:w="1728"/>
            <w:shd w:fill="FFFFFF"/>
            <w:tcMar>
              <w:top w:w="100" w:type="dxa"/>
              <w:bottom w:w="100" w:type="dxa"/>
              <w:left w:w="140" w:type="dxa"/>
              <w:right w:w="140" w:type="dxa"/>
            </w:tcMar>
          </w:tcPr>
          <w:p>
            <w:pPr>
              <w:spacing w:line="276" w:lineRule="auto" w:after="40"/>
            </w:pPr>
            <w:r>
              <w:rPr>
                <w:rFonts w:ascii="Calibri" w:hAnsi="Calibri"/>
                <w:color w:val="2C3E50"/>
                <w:sz w:val="19"/>
              </w:rPr>
              <w:t>Sesión</w:t>
            </w:r>
          </w:p>
        </w:tc>
        <w:tc>
          <w:tcPr>
            <w:tcW w:type="dxa" w:w="2016"/>
            <w:shd w:fill="FFFFFF"/>
            <w:tcMar>
              <w:top w:w="100" w:type="dxa"/>
              <w:bottom w:w="100" w:type="dxa"/>
              <w:left w:w="140" w:type="dxa"/>
              <w:right w:w="140" w:type="dxa"/>
            </w:tcMar>
          </w:tcPr>
          <w:p>
            <w:pPr>
              <w:spacing w:line="276" w:lineRule="auto" w:after="40"/>
            </w:pPr>
            <w:r>
              <w:rPr>
                <w:rFonts w:ascii="Calibri" w:hAnsi="Calibri"/>
                <w:color w:val="2C3E50"/>
                <w:sz w:val="19"/>
              </w:rPr>
              <w:t>[Absorbida en Capa de Aplicación]</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w:t>
            </w:r>
          </w:p>
        </w:tc>
        <w:tc>
          <w:tcPr>
            <w:tcW w:type="dxa" w:w="1872"/>
            <w:shd w:fill="FFFFFF"/>
            <w:tcMar>
              <w:top w:w="100" w:type="dxa"/>
              <w:bottom w:w="100" w:type="dxa"/>
              <w:left w:w="140" w:type="dxa"/>
              <w:right w:w="140" w:type="dxa"/>
            </w:tcMar>
          </w:tcPr>
          <w:p>
            <w:pPr>
              <w:spacing w:line="276" w:lineRule="auto" w:after="40"/>
            </w:pPr>
            <w:r>
              <w:rPr>
                <w:rFonts w:ascii="Calibri" w:hAnsi="Calibri"/>
                <w:color w:val="2C3E50"/>
                <w:sz w:val="19"/>
              </w:rPr>
              <w:t>Tokens de diálogo, Checkpoints</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Bibliotecas de Software</w:t>
            </w:r>
          </w:p>
        </w:tc>
      </w:tr>
      <w:tr>
        <w:tc>
          <w:tcPr>
            <w:tcW w:type="dxa" w:w="576"/>
            <w:shd w:fill="F4F6F9"/>
            <w:tcMar>
              <w:top w:w="100" w:type="dxa"/>
              <w:bottom w:w="100" w:type="dxa"/>
              <w:left w:w="140" w:type="dxa"/>
              <w:right w:w="140" w:type="dxa"/>
            </w:tcMar>
          </w:tcPr>
          <w:p>
            <w:pPr>
              <w:spacing w:line="276" w:lineRule="auto" w:after="40"/>
            </w:pPr>
            <w:r>
              <w:rPr>
                <w:rFonts w:ascii="Calibri" w:hAnsi="Calibri"/>
                <w:color w:val="2C3E50"/>
                <w:sz w:val="19"/>
              </w:rPr>
              <w:t>4</w:t>
            </w:r>
          </w:p>
        </w:tc>
        <w:tc>
          <w:tcPr>
            <w:tcW w:type="dxa" w:w="1728"/>
            <w:shd w:fill="F4F6F9"/>
            <w:tcMar>
              <w:top w:w="100" w:type="dxa"/>
              <w:bottom w:w="100" w:type="dxa"/>
              <w:left w:w="140" w:type="dxa"/>
              <w:right w:w="140" w:type="dxa"/>
            </w:tcMar>
          </w:tcPr>
          <w:p>
            <w:pPr>
              <w:spacing w:line="276" w:lineRule="auto" w:after="40"/>
            </w:pPr>
            <w:r>
              <w:rPr>
                <w:rFonts w:ascii="Calibri" w:hAnsi="Calibri"/>
                <w:color w:val="2C3E50"/>
                <w:sz w:val="19"/>
              </w:rPr>
              <w:t>Transporte</w:t>
            </w:r>
          </w:p>
        </w:tc>
        <w:tc>
          <w:tcPr>
            <w:tcW w:type="dxa" w:w="2016"/>
            <w:shd w:fill="F4F6F9"/>
            <w:tcMar>
              <w:top w:w="100" w:type="dxa"/>
              <w:bottom w:w="100" w:type="dxa"/>
              <w:left w:w="140" w:type="dxa"/>
              <w:right w:w="140" w:type="dxa"/>
            </w:tcMar>
          </w:tcPr>
          <w:p>
            <w:pPr>
              <w:spacing w:line="276" w:lineRule="auto" w:after="40"/>
            </w:pPr>
            <w:r>
              <w:rPr>
                <w:rFonts w:ascii="Calibri" w:hAnsi="Calibri"/>
                <w:color w:val="2C3E50"/>
                <w:sz w:val="19"/>
              </w:rPr>
              <w:t>Transporte (TCP / UDP)</w:t>
            </w:r>
          </w:p>
        </w:tc>
        <w:tc>
          <w:tcPr>
            <w:tcW w:type="dxa" w:w="1584"/>
            <w:shd w:fill="F4F6F9"/>
            <w:tcMar>
              <w:top w:w="100" w:type="dxa"/>
              <w:bottom w:w="100" w:type="dxa"/>
              <w:left w:w="140" w:type="dxa"/>
              <w:right w:w="140" w:type="dxa"/>
            </w:tcMar>
          </w:tcPr>
          <w:p>
            <w:pPr>
              <w:spacing w:line="276" w:lineRule="auto" w:after="40"/>
            </w:pPr>
            <w:r>
              <w:rPr>
                <w:rFonts w:ascii="Calibri" w:hAnsi="Calibri"/>
                <w:color w:val="2C3E50"/>
                <w:sz w:val="19"/>
              </w:rPr>
              <w:t>Segmento / Datagrama</w:t>
            </w:r>
          </w:p>
        </w:tc>
        <w:tc>
          <w:tcPr>
            <w:tcW w:type="dxa" w:w="1872"/>
            <w:shd w:fill="F4F6F9"/>
            <w:tcMar>
              <w:top w:w="100" w:type="dxa"/>
              <w:bottom w:w="100" w:type="dxa"/>
              <w:left w:w="140" w:type="dxa"/>
              <w:right w:w="140" w:type="dxa"/>
            </w:tcMar>
          </w:tcPr>
          <w:p>
            <w:pPr>
              <w:spacing w:line="276" w:lineRule="auto" w:after="40"/>
            </w:pPr>
            <w:r>
              <w:rPr>
                <w:rFonts w:ascii="Calibri" w:hAnsi="Calibri"/>
                <w:color w:val="2C3E50"/>
                <w:sz w:val="19"/>
              </w:rPr>
              <w:t>Número de Puerto (Multiplexación)</w:t>
            </w:r>
          </w:p>
        </w:tc>
        <w:tc>
          <w:tcPr>
            <w:tcW w:type="dxa" w:w="1584"/>
            <w:shd w:fill="F4F6F9"/>
            <w:tcMar>
              <w:top w:w="100" w:type="dxa"/>
              <w:bottom w:w="100" w:type="dxa"/>
              <w:left w:w="140" w:type="dxa"/>
              <w:right w:w="140" w:type="dxa"/>
            </w:tcMar>
          </w:tcPr>
          <w:p>
            <w:pPr>
              <w:spacing w:line="276" w:lineRule="auto" w:after="40"/>
            </w:pPr>
            <w:r>
              <w:rPr>
                <w:rFonts w:ascii="Calibri" w:hAnsi="Calibri"/>
                <w:color w:val="2C3E50"/>
                <w:sz w:val="19"/>
              </w:rPr>
              <w:t>Hosts (Firewalls de Estado L4)</w:t>
            </w:r>
          </w:p>
        </w:tc>
      </w:tr>
      <w:tr>
        <w:tc>
          <w:tcPr>
            <w:tcW w:type="dxa" w:w="576"/>
            <w:shd w:fill="FFFFFF"/>
            <w:tcMar>
              <w:top w:w="100" w:type="dxa"/>
              <w:bottom w:w="100" w:type="dxa"/>
              <w:left w:w="140" w:type="dxa"/>
              <w:right w:w="140" w:type="dxa"/>
            </w:tcMar>
          </w:tcPr>
          <w:p>
            <w:pPr>
              <w:spacing w:line="276" w:lineRule="auto" w:after="40"/>
            </w:pPr>
            <w:r>
              <w:rPr>
                <w:rFonts w:ascii="Calibri" w:hAnsi="Calibri"/>
                <w:color w:val="2C3E50"/>
                <w:sz w:val="19"/>
              </w:rPr>
              <w:t>3</w:t>
            </w:r>
          </w:p>
        </w:tc>
        <w:tc>
          <w:tcPr>
            <w:tcW w:type="dxa" w:w="1728"/>
            <w:shd w:fill="FFFFFF"/>
            <w:tcMar>
              <w:top w:w="100" w:type="dxa"/>
              <w:bottom w:w="100" w:type="dxa"/>
              <w:left w:w="140" w:type="dxa"/>
              <w:right w:w="140" w:type="dxa"/>
            </w:tcMar>
          </w:tcPr>
          <w:p>
            <w:pPr>
              <w:spacing w:line="276" w:lineRule="auto" w:after="40"/>
            </w:pPr>
            <w:r>
              <w:rPr>
                <w:rFonts w:ascii="Calibri" w:hAnsi="Calibri"/>
                <w:color w:val="2C3E50"/>
                <w:sz w:val="19"/>
              </w:rPr>
              <w:t>Red</w:t>
            </w:r>
          </w:p>
        </w:tc>
        <w:tc>
          <w:tcPr>
            <w:tcW w:type="dxa" w:w="2016"/>
            <w:shd w:fill="FFFFFF"/>
            <w:tcMar>
              <w:top w:w="100" w:type="dxa"/>
              <w:bottom w:w="100" w:type="dxa"/>
              <w:left w:w="140" w:type="dxa"/>
              <w:right w:w="140" w:type="dxa"/>
            </w:tcMar>
          </w:tcPr>
          <w:p>
            <w:pPr>
              <w:spacing w:line="276" w:lineRule="auto" w:after="40"/>
            </w:pPr>
            <w:r>
              <w:rPr>
                <w:rFonts w:ascii="Calibri" w:hAnsi="Calibri"/>
                <w:color w:val="2C3E50"/>
                <w:sz w:val="19"/>
              </w:rPr>
              <w:t>Red (Internet / IP)</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Paquete / Datagrama IP</w:t>
            </w:r>
          </w:p>
        </w:tc>
        <w:tc>
          <w:tcPr>
            <w:tcW w:type="dxa" w:w="1872"/>
            <w:shd w:fill="FFFFFF"/>
            <w:tcMar>
              <w:top w:w="100" w:type="dxa"/>
              <w:bottom w:w="100" w:type="dxa"/>
              <w:left w:w="140" w:type="dxa"/>
              <w:right w:w="140" w:type="dxa"/>
            </w:tcMar>
          </w:tcPr>
          <w:p>
            <w:pPr>
              <w:spacing w:line="276" w:lineRule="auto" w:after="40"/>
            </w:pPr>
            <w:r>
              <w:rPr>
                <w:rFonts w:ascii="Calibri" w:hAnsi="Calibri"/>
                <w:color w:val="2C3E50"/>
                <w:sz w:val="19"/>
              </w:rPr>
              <w:t>Dirección IP (Lógica / Jerárquica)</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Routers (Enrutadores L3)</w:t>
            </w:r>
          </w:p>
        </w:tc>
      </w:tr>
      <w:tr>
        <w:tc>
          <w:tcPr>
            <w:tcW w:type="dxa" w:w="576"/>
            <w:shd w:fill="F4F6F9"/>
            <w:tcMar>
              <w:top w:w="100" w:type="dxa"/>
              <w:bottom w:w="100" w:type="dxa"/>
              <w:left w:w="140" w:type="dxa"/>
              <w:right w:w="140" w:type="dxa"/>
            </w:tcMar>
          </w:tcPr>
          <w:p>
            <w:pPr>
              <w:spacing w:line="276" w:lineRule="auto" w:after="40"/>
            </w:pPr>
            <w:r>
              <w:rPr>
                <w:rFonts w:ascii="Calibri" w:hAnsi="Calibri"/>
                <w:color w:val="2C3E50"/>
                <w:sz w:val="19"/>
              </w:rPr>
              <w:t>2</w:t>
            </w:r>
          </w:p>
        </w:tc>
        <w:tc>
          <w:tcPr>
            <w:tcW w:type="dxa" w:w="1728"/>
            <w:shd w:fill="F4F6F9"/>
            <w:tcMar>
              <w:top w:w="100" w:type="dxa"/>
              <w:bottom w:w="100" w:type="dxa"/>
              <w:left w:w="140" w:type="dxa"/>
              <w:right w:w="140" w:type="dxa"/>
            </w:tcMar>
          </w:tcPr>
          <w:p>
            <w:pPr>
              <w:spacing w:line="276" w:lineRule="auto" w:after="40"/>
            </w:pPr>
            <w:r>
              <w:rPr>
                <w:rFonts w:ascii="Calibri" w:hAnsi="Calibri"/>
                <w:color w:val="2C3E50"/>
                <w:sz w:val="19"/>
              </w:rPr>
              <w:t>Enlace de Datos</w:t>
            </w:r>
          </w:p>
        </w:tc>
        <w:tc>
          <w:tcPr>
            <w:tcW w:type="dxa" w:w="2016"/>
            <w:shd w:fill="F4F6F9"/>
            <w:tcMar>
              <w:top w:w="100" w:type="dxa"/>
              <w:bottom w:w="100" w:type="dxa"/>
              <w:left w:w="140" w:type="dxa"/>
              <w:right w:w="140" w:type="dxa"/>
            </w:tcMar>
          </w:tcPr>
          <w:p>
            <w:pPr>
              <w:spacing w:line="276" w:lineRule="auto" w:after="40"/>
            </w:pPr>
            <w:r>
              <w:rPr>
                <w:rFonts w:ascii="Calibri" w:hAnsi="Calibri"/>
                <w:color w:val="2C3E50"/>
                <w:sz w:val="19"/>
              </w:rPr>
              <w:t>Enlace de Datos (Ethernet, Wi-Fi)</w:t>
            </w:r>
          </w:p>
        </w:tc>
        <w:tc>
          <w:tcPr>
            <w:tcW w:type="dxa" w:w="1584"/>
            <w:shd w:fill="F4F6F9"/>
            <w:tcMar>
              <w:top w:w="100" w:type="dxa"/>
              <w:bottom w:w="100" w:type="dxa"/>
              <w:left w:w="140" w:type="dxa"/>
              <w:right w:w="140" w:type="dxa"/>
            </w:tcMar>
          </w:tcPr>
          <w:p>
            <w:pPr>
              <w:spacing w:line="276" w:lineRule="auto" w:after="40"/>
            </w:pPr>
            <w:r>
              <w:rPr>
                <w:rFonts w:ascii="Calibri" w:hAnsi="Calibri"/>
                <w:color w:val="2C3E50"/>
                <w:sz w:val="19"/>
              </w:rPr>
              <w:t>Trama (Frame)</w:t>
            </w:r>
          </w:p>
        </w:tc>
        <w:tc>
          <w:tcPr>
            <w:tcW w:type="dxa" w:w="1872"/>
            <w:shd w:fill="F4F6F9"/>
            <w:tcMar>
              <w:top w:w="100" w:type="dxa"/>
              <w:bottom w:w="100" w:type="dxa"/>
              <w:left w:w="140" w:type="dxa"/>
              <w:right w:w="140" w:type="dxa"/>
            </w:tcMar>
          </w:tcPr>
          <w:p>
            <w:pPr>
              <w:spacing w:line="276" w:lineRule="auto" w:after="40"/>
            </w:pPr>
            <w:r>
              <w:rPr>
                <w:rFonts w:ascii="Calibri" w:hAnsi="Calibri"/>
                <w:color w:val="2C3E50"/>
                <w:sz w:val="19"/>
              </w:rPr>
              <w:t>Dirección MAC (Física / Plana)</w:t>
            </w:r>
          </w:p>
        </w:tc>
        <w:tc>
          <w:tcPr>
            <w:tcW w:type="dxa" w:w="1584"/>
            <w:shd w:fill="F4F6F9"/>
            <w:tcMar>
              <w:top w:w="100" w:type="dxa"/>
              <w:bottom w:w="100" w:type="dxa"/>
              <w:left w:w="140" w:type="dxa"/>
              <w:right w:w="140" w:type="dxa"/>
            </w:tcMar>
          </w:tcPr>
          <w:p>
            <w:pPr>
              <w:spacing w:line="276" w:lineRule="auto" w:after="40"/>
            </w:pPr>
            <w:r>
              <w:rPr>
                <w:rFonts w:ascii="Calibri" w:hAnsi="Calibri"/>
                <w:color w:val="2C3E50"/>
                <w:sz w:val="19"/>
              </w:rPr>
              <w:t>Switches (Conmutadores L2), Bridges</w:t>
            </w:r>
          </w:p>
        </w:tc>
      </w:tr>
      <w:tr>
        <w:tc>
          <w:tcPr>
            <w:tcW w:type="dxa" w:w="576"/>
            <w:shd w:fill="FFFFFF"/>
            <w:tcMar>
              <w:top w:w="100" w:type="dxa"/>
              <w:bottom w:w="100" w:type="dxa"/>
              <w:left w:w="140" w:type="dxa"/>
              <w:right w:w="140" w:type="dxa"/>
            </w:tcMar>
          </w:tcPr>
          <w:p>
            <w:pPr>
              <w:spacing w:line="276" w:lineRule="auto" w:after="40"/>
            </w:pPr>
            <w:r>
              <w:rPr>
                <w:rFonts w:ascii="Calibri" w:hAnsi="Calibri"/>
                <w:color w:val="2C3E50"/>
                <w:sz w:val="19"/>
              </w:rPr>
              <w:t>1</w:t>
            </w:r>
          </w:p>
        </w:tc>
        <w:tc>
          <w:tcPr>
            <w:tcW w:type="dxa" w:w="1728"/>
            <w:shd w:fill="FFFFFF"/>
            <w:tcMar>
              <w:top w:w="100" w:type="dxa"/>
              <w:bottom w:w="100" w:type="dxa"/>
              <w:left w:w="140" w:type="dxa"/>
              <w:right w:w="140" w:type="dxa"/>
            </w:tcMar>
          </w:tcPr>
          <w:p>
            <w:pPr>
              <w:spacing w:line="276" w:lineRule="auto" w:after="40"/>
            </w:pPr>
            <w:r>
              <w:rPr>
                <w:rFonts w:ascii="Calibri" w:hAnsi="Calibri"/>
                <w:color w:val="2C3E50"/>
                <w:sz w:val="19"/>
              </w:rPr>
              <w:t>Física</w:t>
            </w:r>
          </w:p>
        </w:tc>
        <w:tc>
          <w:tcPr>
            <w:tcW w:type="dxa" w:w="2016"/>
            <w:shd w:fill="FFFFFF"/>
            <w:tcMar>
              <w:top w:w="100" w:type="dxa"/>
              <w:bottom w:w="100" w:type="dxa"/>
              <w:left w:w="140" w:type="dxa"/>
              <w:right w:w="140" w:type="dxa"/>
            </w:tcMar>
          </w:tcPr>
          <w:p>
            <w:pPr>
              <w:spacing w:line="276" w:lineRule="auto" w:after="40"/>
            </w:pPr>
            <w:r>
              <w:rPr>
                <w:rFonts w:ascii="Calibri" w:hAnsi="Calibri"/>
                <w:color w:val="2C3E50"/>
                <w:sz w:val="19"/>
              </w:rPr>
              <w:t>Física (Cables, Fibras, Radio)</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Bits / Señales</w:t>
            </w:r>
          </w:p>
        </w:tc>
        <w:tc>
          <w:tcPr>
            <w:tcW w:type="dxa" w:w="1872"/>
            <w:shd w:fill="FFFFFF"/>
            <w:tcMar>
              <w:top w:w="100" w:type="dxa"/>
              <w:bottom w:w="100" w:type="dxa"/>
              <w:left w:w="140" w:type="dxa"/>
              <w:right w:w="140" w:type="dxa"/>
            </w:tcMar>
          </w:tcPr>
          <w:p>
            <w:pPr>
              <w:spacing w:line="276" w:lineRule="auto" w:after="40"/>
            </w:pPr>
            <w:r>
              <w:rPr>
                <w:rFonts w:ascii="Calibri" w:hAnsi="Calibri"/>
                <w:color w:val="2C3E50"/>
                <w:sz w:val="19"/>
              </w:rPr>
              <w:t>Frecuencias, Niveles de Tensión</w:t>
            </w:r>
          </w:p>
        </w:tc>
        <w:tc>
          <w:tcPr>
            <w:tcW w:type="dxa" w:w="1584"/>
            <w:shd w:fill="FFFFFF"/>
            <w:tcMar>
              <w:top w:w="100" w:type="dxa"/>
              <w:bottom w:w="100" w:type="dxa"/>
              <w:left w:w="140" w:type="dxa"/>
              <w:right w:w="140" w:type="dxa"/>
            </w:tcMar>
          </w:tcPr>
          <w:p>
            <w:pPr>
              <w:spacing w:line="276" w:lineRule="auto" w:after="40"/>
            </w:pPr>
            <w:r>
              <w:rPr>
                <w:rFonts w:ascii="Calibri" w:hAnsi="Calibri"/>
                <w:color w:val="2C3E50"/>
                <w:sz w:val="19"/>
              </w:rPr>
              <w:t>Hubs, Repetidores, Transceivers</w:t>
            </w:r>
          </w:p>
        </w:tc>
      </w:tr>
    </w:tbl>
    <w:p/>
    <w:p>
      <w:pPr>
        <w:keepNext/>
        <w:spacing w:before="240" w:after="80"/>
      </w:pPr>
      <w:r>
        <w:rPr>
          <w:rFonts w:ascii="Calibri" w:hAnsi="Calibri"/>
          <w:b/>
          <w:color w:val="2980B9"/>
          <w:sz w:val="26"/>
        </w:rPr>
        <w:t>5.3. Dispositivos de Interconexión y Conmutación en Capa 2</w:t>
      </w:r>
    </w:p>
    <w:p>
      <w:r>
        <w:t>Los dispositivos de red se clasifican estrictamente según la capa más alta de la pila protocolar que son capaces de inspeccionar y procesar:</w:t>
      </w:r>
    </w:p>
    <w:p>
      <w:pPr>
        <w:pStyle w:val="ListBullet"/>
      </w:pPr>
      <w:r>
        <w:rPr>
          <w:b/>
        </w:rPr>
        <w:t xml:space="preserve">Repetidores y Hubs (Capa 1): </w:t>
      </w:r>
      <w:r>
        <w:t>Dispositivos puramente analógicos/eléctricos. Reciben señales con ruido o atenuación, las regeneran y las retransmiten por todos los demás puertos. No comprenden tramas ni direcciones.</w:t>
      </w:r>
    </w:p>
    <w:p>
      <w:pPr>
        <w:pStyle w:val="ListBullet"/>
      </w:pPr>
      <w:r>
        <w:rPr>
          <w:b/>
        </w:rPr>
        <w:t xml:space="preserve">Switches y Bridges (Capa 2): </w:t>
      </w:r>
      <w:r>
        <w:t>Dispositivos inteligentes que leen la dirección MAC de destino en el encabezado de la trama para reenviarla exclusivamente por el puerto correspondiente según su tabla de reenvío (CAM Table).</w:t>
      </w:r>
    </w:p>
    <w:p>
      <w:r>
        <w:t>Los switches implementan dos filosofías principales de reenvío:</w:t>
      </w:r>
    </w:p>
    <w:p>
      <w:r>
        <w:rPr>
          <w:b/>
        </w:rPr>
        <w:t xml:space="preserve">• Almacenamiento y Reenvío (Store-and-Forward): </w:t>
      </w:r>
      <w:r>
        <w:t>El switch recibe la trama completa en su buffer interno, calcula y verifica el código CRC del trailer. Si la trama tiene errores, se descarta de inmediato; si es válida, se reenvía. Es el método más seguro y estándar, aunque introduce una latencia proporcional a la longitud de la trama.</w:t>
      </w:r>
    </w:p>
    <w:p>
      <w:r>
        <w:rPr>
          <w:b/>
        </w:rPr>
        <w:t xml:space="preserve">• Reenvío Directo (Cut-Through): </w:t>
      </w:r>
      <w:r>
        <w:t>El switch examina únicamente los primeros bytes de la trama (donde reside la dirección MAC destino) y comienza a retransmitirla de inmediato por el puerto de salida, sin esperar a recibir el resto ni verificar el CRC. Provee latencia ultra baja, pero propaga tramas corruptas hacia el resto de la red.</w:t>
      </w:r>
    </w:p>
    <w:p>
      <w:pPr>
        <w:keepNext/>
        <w:spacing w:before="320" w:after="120"/>
      </w:pPr>
      <w:r>
        <w:rPr>
          <w:rFonts w:ascii="Calibri" w:hAnsi="Calibri"/>
          <w:b/>
          <w:color w:val="182B49"/>
          <w:sz w:val="32"/>
        </w:rPr>
        <w:t>6. Primitivas de Servicio, Sockets y Multiplexación</w:t>
      </w:r>
    </w:p>
    <w:p>
      <w:pPr>
        <w:keepNext/>
        <w:spacing w:before="240" w:after="80"/>
      </w:pPr>
      <w:r>
        <w:rPr>
          <w:rFonts w:ascii="Calibri" w:hAnsi="Calibri"/>
          <w:b/>
          <w:color w:val="2980B9"/>
          <w:sz w:val="26"/>
        </w:rPr>
        <w:t>6.1. Primitivas de Servicio Fundamentales</w:t>
      </w:r>
    </w:p>
    <w:p>
      <w:r>
        <w:t xml:space="preserve">Para que un proceso de aplicación de usuario acceda a los servicios de transporte de la red provistos por el sistema operativo, se definen operaciones normalizadas denominadas </w:t>
      </w:r>
      <w:r>
        <w:rPr>
          <w:b/>
        </w:rPr>
        <w:t>primitivas de servicio</w:t>
      </w:r>
      <w:r>
        <w:t>:</w:t>
      </w:r>
    </w:p>
    <w:tbl>
      <w:tblPr>
        <w:tblW w:type="auto" w:w="0"/>
        <w:jc w:val="center"/>
        <w:tblLayout w:type="fixed"/>
        <w:tblLook w:firstColumn="1" w:firstRow="1" w:lastColumn="0" w:lastRow="0" w:noHBand="0" w:noVBand="1" w:val="04A0"/>
        <w:tblBorders>
          <w:top w:val="single" w:sz="4" w:space="0" w:color="D0D7DE"/>
          <w:bottom w:val="single" w:sz="6" w:space="0" w:color="182B49"/>
          <w:left w:val="none"/>
          <w:right w:val="none"/>
          <w:insideH w:val="single" w:sz="4" w:space="0" w:color="E1E4E8"/>
          <w:insideV w:val="none"/>
        </w:tblBorders>
      </w:tblPr>
      <w:tblGrid>
        <w:gridCol w:w="3120"/>
        <w:gridCol w:w="3120"/>
        <w:gridCol w:w="3120"/>
      </w:tblGrid>
      <w:tr>
        <w:tc>
          <w:tcPr>
            <w:tcW w:type="dxa" w:w="2160"/>
            <w:shd w:fill="182B49"/>
            <w:tcMar>
              <w:top w:w="120" w:type="dxa"/>
              <w:bottom w:w="120" w:type="dxa"/>
              <w:left w:w="140" w:type="dxa"/>
              <w:right w:w="140" w:type="dxa"/>
            </w:tcMar>
          </w:tcPr>
          <w:p>
            <w:pPr>
              <w:jc w:val="left"/>
            </w:pPr>
            <w:r>
              <w:rPr>
                <w:rFonts w:ascii="Calibri" w:hAnsi="Calibri"/>
                <w:b/>
                <w:color w:val="FFFFFF"/>
                <w:sz w:val="20"/>
              </w:rPr>
              <w:t>Primitiva</w:t>
            </w:r>
          </w:p>
        </w:tc>
        <w:tc>
          <w:tcPr>
            <w:tcW w:type="dxa" w:w="2016"/>
            <w:shd w:fill="182B49"/>
            <w:tcMar>
              <w:top w:w="120" w:type="dxa"/>
              <w:bottom w:w="120" w:type="dxa"/>
              <w:left w:w="140" w:type="dxa"/>
              <w:right w:w="140" w:type="dxa"/>
            </w:tcMar>
          </w:tcPr>
          <w:p>
            <w:pPr>
              <w:jc w:val="left"/>
            </w:pPr>
            <w:r>
              <w:rPr>
                <w:rFonts w:ascii="Calibri" w:hAnsi="Calibri"/>
                <w:b/>
                <w:color w:val="FFFFFF"/>
                <w:sz w:val="20"/>
              </w:rPr>
              <w:t>Tipo de Servicio</w:t>
            </w:r>
          </w:p>
        </w:tc>
        <w:tc>
          <w:tcPr>
            <w:tcW w:type="dxa" w:w="5184"/>
            <w:shd w:fill="182B49"/>
            <w:tcMar>
              <w:top w:w="120" w:type="dxa"/>
              <w:bottom w:w="120" w:type="dxa"/>
              <w:left w:w="140" w:type="dxa"/>
              <w:right w:w="140" w:type="dxa"/>
            </w:tcMar>
          </w:tcPr>
          <w:p>
            <w:pPr>
              <w:jc w:val="left"/>
            </w:pPr>
            <w:r>
              <w:rPr>
                <w:rFonts w:ascii="Calibri" w:hAnsi="Calibri"/>
                <w:b/>
                <w:color w:val="FFFFFF"/>
                <w:sz w:val="20"/>
              </w:rPr>
              <w:t>Función / Descripción Técnica</w:t>
            </w:r>
          </w:p>
        </w:tc>
      </w:tr>
      <w:tr>
        <w:tc>
          <w:tcPr>
            <w:tcW w:type="dxa" w:w="2160"/>
            <w:shd w:fill="FFFFFF"/>
            <w:tcMar>
              <w:top w:w="100" w:type="dxa"/>
              <w:bottom w:w="100" w:type="dxa"/>
              <w:left w:w="140" w:type="dxa"/>
              <w:right w:w="140" w:type="dxa"/>
            </w:tcMar>
          </w:tcPr>
          <w:p>
            <w:pPr>
              <w:spacing w:line="276" w:lineRule="auto" w:after="40"/>
            </w:pPr>
            <w:r>
              <w:rPr>
                <w:rFonts w:ascii="Calibri" w:hAnsi="Calibri"/>
                <w:color w:val="2C3E50"/>
                <w:sz w:val="19"/>
              </w:rPr>
              <w:t>LISTEN</w:t>
            </w:r>
          </w:p>
        </w:tc>
        <w:tc>
          <w:tcPr>
            <w:tcW w:type="dxa" w:w="2016"/>
            <w:shd w:fill="FFFFFF"/>
            <w:tcMar>
              <w:top w:w="100" w:type="dxa"/>
              <w:bottom w:w="100" w:type="dxa"/>
              <w:left w:w="140" w:type="dxa"/>
              <w:right w:w="140" w:type="dxa"/>
            </w:tcMar>
          </w:tcPr>
          <w:p>
            <w:pPr>
              <w:spacing w:line="276" w:lineRule="auto" w:after="40"/>
            </w:pPr>
            <w:r>
              <w:rPr>
                <w:rFonts w:ascii="Calibri" w:hAnsi="Calibri"/>
                <w:color w:val="2C3E50"/>
                <w:sz w:val="19"/>
              </w:rPr>
              <w:t>Servidor</w:t>
            </w:r>
          </w:p>
        </w:tc>
        <w:tc>
          <w:tcPr>
            <w:tcW w:type="dxa" w:w="5184"/>
            <w:shd w:fill="FFFFFF"/>
            <w:tcMar>
              <w:top w:w="100" w:type="dxa"/>
              <w:bottom w:w="100" w:type="dxa"/>
              <w:left w:w="140" w:type="dxa"/>
              <w:right w:w="140" w:type="dxa"/>
            </w:tcMar>
          </w:tcPr>
          <w:p>
            <w:pPr>
              <w:spacing w:line="276" w:lineRule="auto" w:after="40"/>
            </w:pPr>
            <w:r>
              <w:rPr>
                <w:rFonts w:ascii="Calibri" w:hAnsi="Calibri"/>
                <w:color w:val="2C3E50"/>
                <w:sz w:val="19"/>
              </w:rPr>
              <w:t>Pone al proceso en espera bloqueante pasiva, listo para recibir solicitudes entrantes.</w:t>
            </w:r>
          </w:p>
        </w:tc>
      </w:tr>
      <w:tr>
        <w:tc>
          <w:tcPr>
            <w:tcW w:type="dxa" w:w="2160"/>
            <w:shd w:fill="F4F6F9"/>
            <w:tcMar>
              <w:top w:w="100" w:type="dxa"/>
              <w:bottom w:w="100" w:type="dxa"/>
              <w:left w:w="140" w:type="dxa"/>
              <w:right w:w="140" w:type="dxa"/>
            </w:tcMar>
          </w:tcPr>
          <w:p>
            <w:pPr>
              <w:spacing w:line="276" w:lineRule="auto" w:after="40"/>
            </w:pPr>
            <w:r>
              <w:rPr>
                <w:rFonts w:ascii="Calibri" w:hAnsi="Calibri"/>
                <w:color w:val="2C3E50"/>
                <w:sz w:val="19"/>
              </w:rPr>
              <w:t>CONNECT</w:t>
            </w:r>
          </w:p>
        </w:tc>
        <w:tc>
          <w:tcPr>
            <w:tcW w:type="dxa" w:w="2016"/>
            <w:shd w:fill="F4F6F9"/>
            <w:tcMar>
              <w:top w:w="100" w:type="dxa"/>
              <w:bottom w:w="100" w:type="dxa"/>
              <w:left w:w="140" w:type="dxa"/>
              <w:right w:w="140" w:type="dxa"/>
            </w:tcMar>
          </w:tcPr>
          <w:p>
            <w:pPr>
              <w:spacing w:line="276" w:lineRule="auto" w:after="40"/>
            </w:pPr>
            <w:r>
              <w:rPr>
                <w:rFonts w:ascii="Calibri" w:hAnsi="Calibri"/>
                <w:color w:val="2C3E50"/>
                <w:sz w:val="19"/>
              </w:rPr>
              <w:t>Cliente</w:t>
            </w:r>
          </w:p>
        </w:tc>
        <w:tc>
          <w:tcPr>
            <w:tcW w:type="dxa" w:w="5184"/>
            <w:shd w:fill="F4F6F9"/>
            <w:tcMar>
              <w:top w:w="100" w:type="dxa"/>
              <w:bottom w:w="100" w:type="dxa"/>
              <w:left w:w="140" w:type="dxa"/>
              <w:right w:w="140" w:type="dxa"/>
            </w:tcMar>
          </w:tcPr>
          <w:p>
            <w:pPr>
              <w:spacing w:line="276" w:lineRule="auto" w:after="40"/>
            </w:pPr>
            <w:r>
              <w:rPr>
                <w:rFonts w:ascii="Calibri" w:hAnsi="Calibri"/>
                <w:color w:val="2C3E50"/>
                <w:sz w:val="19"/>
              </w:rPr>
              <w:t>Inicia activamente el establecimiento de conexión con el host y puerto de destino (Handshake).</w:t>
            </w:r>
          </w:p>
        </w:tc>
      </w:tr>
      <w:tr>
        <w:tc>
          <w:tcPr>
            <w:tcW w:type="dxa" w:w="2160"/>
            <w:shd w:fill="FFFFFF"/>
            <w:tcMar>
              <w:top w:w="100" w:type="dxa"/>
              <w:bottom w:w="100" w:type="dxa"/>
              <w:left w:w="140" w:type="dxa"/>
              <w:right w:w="140" w:type="dxa"/>
            </w:tcMar>
          </w:tcPr>
          <w:p>
            <w:pPr>
              <w:spacing w:line="276" w:lineRule="auto" w:after="40"/>
            </w:pPr>
            <w:r>
              <w:rPr>
                <w:rFonts w:ascii="Calibri" w:hAnsi="Calibri"/>
                <w:color w:val="2C3E50"/>
                <w:sz w:val="19"/>
              </w:rPr>
              <w:t>ACCEPT</w:t>
            </w:r>
          </w:p>
        </w:tc>
        <w:tc>
          <w:tcPr>
            <w:tcW w:type="dxa" w:w="2016"/>
            <w:shd w:fill="FFFFFF"/>
            <w:tcMar>
              <w:top w:w="100" w:type="dxa"/>
              <w:bottom w:w="100" w:type="dxa"/>
              <w:left w:w="140" w:type="dxa"/>
              <w:right w:w="140" w:type="dxa"/>
            </w:tcMar>
          </w:tcPr>
          <w:p>
            <w:pPr>
              <w:spacing w:line="276" w:lineRule="auto" w:after="40"/>
            </w:pPr>
            <w:r>
              <w:rPr>
                <w:rFonts w:ascii="Calibri" w:hAnsi="Calibri"/>
                <w:color w:val="2C3E50"/>
                <w:sz w:val="19"/>
              </w:rPr>
              <w:t>Servidor</w:t>
            </w:r>
          </w:p>
        </w:tc>
        <w:tc>
          <w:tcPr>
            <w:tcW w:type="dxa" w:w="5184"/>
            <w:shd w:fill="FFFFFF"/>
            <w:tcMar>
              <w:top w:w="100" w:type="dxa"/>
              <w:bottom w:w="100" w:type="dxa"/>
              <w:left w:w="140" w:type="dxa"/>
              <w:right w:w="140" w:type="dxa"/>
            </w:tcMar>
          </w:tcPr>
          <w:p>
            <w:pPr>
              <w:spacing w:line="276" w:lineRule="auto" w:after="40"/>
            </w:pPr>
            <w:r>
              <w:rPr>
                <w:rFonts w:ascii="Calibri" w:hAnsi="Calibri"/>
                <w:color w:val="2C3E50"/>
                <w:sz w:val="19"/>
              </w:rPr>
              <w:t>Acepta formalmente la conexión entrante negociada, creando un socket dedicado para la sesión.</w:t>
            </w:r>
          </w:p>
        </w:tc>
      </w:tr>
      <w:tr>
        <w:tc>
          <w:tcPr>
            <w:tcW w:type="dxa" w:w="2160"/>
            <w:shd w:fill="F4F6F9"/>
            <w:tcMar>
              <w:top w:w="100" w:type="dxa"/>
              <w:bottom w:w="100" w:type="dxa"/>
              <w:left w:w="140" w:type="dxa"/>
              <w:right w:w="140" w:type="dxa"/>
            </w:tcMar>
          </w:tcPr>
          <w:p>
            <w:pPr>
              <w:spacing w:line="276" w:lineRule="auto" w:after="40"/>
            </w:pPr>
            <w:r>
              <w:rPr>
                <w:rFonts w:ascii="Calibri" w:hAnsi="Calibri"/>
                <w:color w:val="2C3E50"/>
                <w:sz w:val="19"/>
              </w:rPr>
              <w:t>SEND</w:t>
            </w:r>
          </w:p>
        </w:tc>
        <w:tc>
          <w:tcPr>
            <w:tcW w:type="dxa" w:w="2016"/>
            <w:shd w:fill="F4F6F9"/>
            <w:tcMar>
              <w:top w:w="100" w:type="dxa"/>
              <w:bottom w:w="100" w:type="dxa"/>
              <w:left w:w="140" w:type="dxa"/>
              <w:right w:w="140" w:type="dxa"/>
            </w:tcMar>
          </w:tcPr>
          <w:p>
            <w:pPr>
              <w:spacing w:line="276" w:lineRule="auto" w:after="40"/>
            </w:pPr>
            <w:r>
              <w:rPr>
                <w:rFonts w:ascii="Calibri" w:hAnsi="Calibri"/>
                <w:color w:val="2C3E50"/>
                <w:sz w:val="19"/>
              </w:rPr>
              <w:t>Ambos</w:t>
            </w:r>
          </w:p>
        </w:tc>
        <w:tc>
          <w:tcPr>
            <w:tcW w:type="dxa" w:w="5184"/>
            <w:shd w:fill="F4F6F9"/>
            <w:tcMar>
              <w:top w:w="100" w:type="dxa"/>
              <w:bottom w:w="100" w:type="dxa"/>
              <w:left w:w="140" w:type="dxa"/>
              <w:right w:w="140" w:type="dxa"/>
            </w:tcMar>
          </w:tcPr>
          <w:p>
            <w:pPr>
              <w:spacing w:line="276" w:lineRule="auto" w:after="40"/>
            </w:pPr>
            <w:r>
              <w:rPr>
                <w:rFonts w:ascii="Calibri" w:hAnsi="Calibri"/>
                <w:color w:val="2C3E50"/>
                <w:sz w:val="19"/>
              </w:rPr>
              <w:t>Transmite una ráfaga o flujo de datos a través del canal establecido.</w:t>
            </w:r>
          </w:p>
        </w:tc>
      </w:tr>
      <w:tr>
        <w:tc>
          <w:tcPr>
            <w:tcW w:type="dxa" w:w="2160"/>
            <w:shd w:fill="FFFFFF"/>
            <w:tcMar>
              <w:top w:w="100" w:type="dxa"/>
              <w:bottom w:w="100" w:type="dxa"/>
              <w:left w:w="140" w:type="dxa"/>
              <w:right w:w="140" w:type="dxa"/>
            </w:tcMar>
          </w:tcPr>
          <w:p>
            <w:pPr>
              <w:spacing w:line="276" w:lineRule="auto" w:after="40"/>
            </w:pPr>
            <w:r>
              <w:rPr>
                <w:rFonts w:ascii="Calibri" w:hAnsi="Calibri"/>
                <w:color w:val="2C3E50"/>
                <w:sz w:val="19"/>
              </w:rPr>
              <w:t>RECEIVE</w:t>
            </w:r>
          </w:p>
        </w:tc>
        <w:tc>
          <w:tcPr>
            <w:tcW w:type="dxa" w:w="2016"/>
            <w:shd w:fill="FFFFFF"/>
            <w:tcMar>
              <w:top w:w="100" w:type="dxa"/>
              <w:bottom w:w="100" w:type="dxa"/>
              <w:left w:w="140" w:type="dxa"/>
              <w:right w:w="140" w:type="dxa"/>
            </w:tcMar>
          </w:tcPr>
          <w:p>
            <w:pPr>
              <w:spacing w:line="276" w:lineRule="auto" w:after="40"/>
            </w:pPr>
            <w:r>
              <w:rPr>
                <w:rFonts w:ascii="Calibri" w:hAnsi="Calibri"/>
                <w:color w:val="2C3E50"/>
                <w:sz w:val="19"/>
              </w:rPr>
              <w:t>Ambos</w:t>
            </w:r>
          </w:p>
        </w:tc>
        <w:tc>
          <w:tcPr>
            <w:tcW w:type="dxa" w:w="5184"/>
            <w:shd w:fill="FFFFFF"/>
            <w:tcMar>
              <w:top w:w="100" w:type="dxa"/>
              <w:bottom w:w="100" w:type="dxa"/>
              <w:left w:w="140" w:type="dxa"/>
              <w:right w:w="140" w:type="dxa"/>
            </w:tcMar>
          </w:tcPr>
          <w:p>
            <w:pPr>
              <w:spacing w:line="276" w:lineRule="auto" w:after="40"/>
            </w:pPr>
            <w:r>
              <w:rPr>
                <w:rFonts w:ascii="Calibri" w:hAnsi="Calibri"/>
                <w:color w:val="2C3E50"/>
                <w:sz w:val="19"/>
              </w:rPr>
              <w:t>Operación bloqueante que aguarda la llegada de nuevos datos desde el extremo remoto.</w:t>
            </w:r>
          </w:p>
        </w:tc>
      </w:tr>
      <w:tr>
        <w:tc>
          <w:tcPr>
            <w:tcW w:type="dxa" w:w="2160"/>
            <w:shd w:fill="F4F6F9"/>
            <w:tcMar>
              <w:top w:w="100" w:type="dxa"/>
              <w:bottom w:w="100" w:type="dxa"/>
              <w:left w:w="140" w:type="dxa"/>
              <w:right w:w="140" w:type="dxa"/>
            </w:tcMar>
          </w:tcPr>
          <w:p>
            <w:pPr>
              <w:spacing w:line="276" w:lineRule="auto" w:after="40"/>
            </w:pPr>
            <w:r>
              <w:rPr>
                <w:rFonts w:ascii="Calibri" w:hAnsi="Calibri"/>
                <w:color w:val="2C3E50"/>
                <w:sz w:val="19"/>
              </w:rPr>
              <w:t>DISCONNECT</w:t>
            </w:r>
          </w:p>
        </w:tc>
        <w:tc>
          <w:tcPr>
            <w:tcW w:type="dxa" w:w="2016"/>
            <w:shd w:fill="F4F6F9"/>
            <w:tcMar>
              <w:top w:w="100" w:type="dxa"/>
              <w:bottom w:w="100" w:type="dxa"/>
              <w:left w:w="140" w:type="dxa"/>
              <w:right w:w="140" w:type="dxa"/>
            </w:tcMar>
          </w:tcPr>
          <w:p>
            <w:pPr>
              <w:spacing w:line="276" w:lineRule="auto" w:after="40"/>
            </w:pPr>
            <w:r>
              <w:rPr>
                <w:rFonts w:ascii="Calibri" w:hAnsi="Calibri"/>
                <w:color w:val="2C3E50"/>
                <w:sz w:val="19"/>
              </w:rPr>
              <w:t>Ambos</w:t>
            </w:r>
          </w:p>
        </w:tc>
        <w:tc>
          <w:tcPr>
            <w:tcW w:type="dxa" w:w="5184"/>
            <w:shd w:fill="F4F6F9"/>
            <w:tcMar>
              <w:top w:w="100" w:type="dxa"/>
              <w:bottom w:w="100" w:type="dxa"/>
              <w:left w:w="140" w:type="dxa"/>
              <w:right w:w="140" w:type="dxa"/>
            </w:tcMar>
          </w:tcPr>
          <w:p>
            <w:pPr>
              <w:spacing w:line="276" w:lineRule="auto" w:after="40"/>
            </w:pPr>
            <w:r>
              <w:rPr>
                <w:rFonts w:ascii="Calibri" w:hAnsi="Calibri"/>
                <w:color w:val="2C3E50"/>
                <w:sz w:val="19"/>
              </w:rPr>
              <w:t>Inicia la secuencia de terminación y liberación de recursos de la conexión.</w:t>
            </w:r>
          </w:p>
        </w:tc>
      </w:tr>
    </w:tbl>
    <w:p/>
    <w:p>
      <w:pPr>
        <w:keepNext/>
        <w:spacing w:before="240" w:after="80"/>
      </w:pPr>
      <w:r>
        <w:rPr>
          <w:rFonts w:ascii="Calibri" w:hAnsi="Calibri"/>
          <w:b/>
          <w:color w:val="2980B9"/>
          <w:sz w:val="26"/>
        </w:rPr>
        <w:t>6.2. La API de Sockets y el Límite del Sistema Operativo</w:t>
      </w:r>
    </w:p>
    <w:p>
      <w:r>
        <w:t>En la arquitectura de sistemas informáticos, existe una línea de división clara entre qué componentes son administrados por el kernel del Sistema Operativo y cuáles pertenecen al espacio de usuario:</w:t>
      </w:r>
    </w:p>
    <w:p>
      <w:pPr>
        <w:pStyle w:val="ListBullet"/>
      </w:pPr>
      <w:r>
        <w:rPr>
          <w:b/>
        </w:rPr>
        <w:t xml:space="preserve">Hardware y Drivers (Capas 1 y 2): </w:t>
      </w:r>
      <w:r>
        <w:t>La tarjeta de red (NIC) y su controlador de dispositivo en el kernel gestionan la señalización física y el framing.</w:t>
      </w:r>
    </w:p>
    <w:p>
      <w:pPr>
        <w:pStyle w:val="ListBullet"/>
      </w:pPr>
      <w:r>
        <w:rPr>
          <w:b/>
        </w:rPr>
        <w:t xml:space="preserve">Pila de Red del Kernel (Capas 3 y 4): </w:t>
      </w:r>
      <w:r>
        <w:t>El sistema operativo administra las tablas de enrutamiento IP, el control de congestión y las máquinas de estado de TCP/UDP.</w:t>
      </w:r>
    </w:p>
    <w:p>
      <w:pPr>
        <w:pStyle w:val="ListBullet"/>
      </w:pPr>
      <w:r>
        <w:rPr>
          <w:b/>
        </w:rPr>
        <w:t xml:space="preserve">La Interfaz de Sockets: </w:t>
      </w:r>
      <w:r>
        <w:t xml:space="preserve">Un Socket es una abstracción de software (un descriptor de archivo en sistemas tipo UNIX) que enlaza una dirección IP local, un puerto local, una IP remota y un puerto remoto (la </w:t>
      </w:r>
      <w:r>
        <w:rPr>
          <w:i/>
        </w:rPr>
        <w:t>5-tupla</w:t>
      </w:r>
      <w:r>
        <w:t>: Protocolo, IP Origen, Puerto Origen, IP Destino, Puerto Destino).</w:t>
      </w:r>
    </w:p>
    <w:p>
      <w:pPr>
        <w:keepNext/>
        <w:spacing w:before="240" w:after="80"/>
      </w:pPr>
      <w:r>
        <w:rPr>
          <w:rFonts w:ascii="Calibri" w:hAnsi="Calibri"/>
          <w:b/>
          <w:color w:val="2980B9"/>
          <w:sz w:val="26"/>
        </w:rPr>
        <w:t>6.3. Multiplexación y Demultiplexación por Puertos</w:t>
      </w:r>
    </w:p>
    <w:p>
      <w:r>
        <w:t xml:space="preserve">La Capa de Red entrega paquetes entre </w:t>
      </w:r>
      <w:r>
        <w:rPr>
          <w:b/>
        </w:rPr>
        <w:t>hosts (máquinas)</w:t>
      </w:r>
      <w:r>
        <w:t xml:space="preserve">, pero la Capa de Transporte entrega datos entre </w:t>
      </w:r>
      <w:r>
        <w:rPr>
          <w:b/>
        </w:rPr>
        <w:t>procesos específicos</w:t>
      </w:r>
      <w:r>
        <w:t>. Gracias a los puertos efímeros de origen asignados por el sistema operativo, un navegador web puede mantener múltiples pestañas abiertas comunicándose simultáneamente con el mismo servidor web (IP destino fija, puerto 443 fijo) sin que los flujos de datos se mezclen.</w:t>
      </w:r>
    </w:p>
    <w:p>
      <w:pPr>
        <w:keepNext/>
        <w:spacing w:before="320" w:after="120"/>
      </w:pPr>
      <w:r>
        <w:rPr>
          <w:rFonts w:ascii="Calibri" w:hAnsi="Calibri"/>
          <w:b/>
          <w:color w:val="182B49"/>
          <w:sz w:val="32"/>
        </w:rPr>
        <w:t>7. Estandarización, Geopolítica y Neutralidad de la Red</w:t>
      </w:r>
    </w:p>
    <w:p>
      <w:pPr>
        <w:keepNext/>
        <w:spacing w:before="240" w:after="80"/>
      </w:pPr>
      <w:r>
        <w:rPr>
          <w:rFonts w:ascii="Calibri" w:hAnsi="Calibri"/>
          <w:b/>
          <w:color w:val="2980B9"/>
          <w:sz w:val="26"/>
        </w:rPr>
        <w:t>7.1. Organismos de Estandarización</w:t>
      </w:r>
    </w:p>
    <w:p>
      <w:r>
        <w:t>La interoperabilidad universal de Internet existe gracias a la adopción de normas públicas y abiertas definidas por consorcios internacionales:</w:t>
      </w:r>
    </w:p>
    <w:p>
      <w:pPr>
        <w:pStyle w:val="ListBullet"/>
        <w:spacing w:after="60"/>
      </w:pPr>
      <w:r>
        <w:rPr>
          <w:b/>
        </w:rPr>
        <w:t xml:space="preserve">ITU-T (Unión Internacional de Telecomunicaciones): </w:t>
      </w:r>
      <w:r>
        <w:t>Organismo de las Naciones Unidas que define recomendaciones globales para telefonía, redes ópticas y transporte de telecomunicaciones.</w:t>
      </w:r>
    </w:p>
    <w:p>
      <w:pPr>
        <w:pStyle w:val="ListBullet"/>
        <w:spacing w:after="60"/>
      </w:pPr>
      <w:r>
        <w:rPr>
          <w:b/>
        </w:rPr>
        <w:t xml:space="preserve">IEEE (Instituto de Ingenieros Eléctricos y Electrónicos): </w:t>
      </w:r>
      <w:r>
        <w:t>Define los estándares de Capas 1 y 2 mediante el comité IEEE 802 (802.3 Ethernet, 802.11 Wi-Fi, 802.15 WPAN/Bluetooth).</w:t>
      </w:r>
    </w:p>
    <w:p>
      <w:pPr>
        <w:pStyle w:val="ListBullet"/>
        <w:spacing w:after="60"/>
      </w:pPr>
      <w:r>
        <w:rPr>
          <w:b/>
        </w:rPr>
        <w:t xml:space="preserve">IETF (Internet Engineering Task Force): </w:t>
      </w:r>
      <w:r>
        <w:t>Comunidad abierta que desarrolla los estándares centrales de Internet publicados como RFCs (Request for Comments), tales como IP (RFC 791), TCP (RFC 793) o HTTP/1.1 (RFC 2616/9112).</w:t>
      </w:r>
    </w:p>
    <w:p>
      <w:pPr>
        <w:pStyle w:val="ListBullet"/>
        <w:spacing w:after="60"/>
      </w:pPr>
      <w:r>
        <w:rPr>
          <w:b/>
        </w:rPr>
        <w:t xml:space="preserve">ISO / NIST: </w:t>
      </w:r>
      <w:r>
        <w:t>Organizaciones que definen modelos teóricos universales (como el modelo OSI) y estándares criptográficos de seguridad.</w:t>
      </w:r>
    </w:p>
    <w:p>
      <w:pPr>
        <w:keepNext/>
        <w:spacing w:before="240" w:after="80"/>
      </w:pPr>
      <w:r>
        <w:rPr>
          <w:rFonts w:ascii="Calibri" w:hAnsi="Calibri"/>
          <w:b/>
          <w:color w:val="2980B9"/>
          <w:sz w:val="26"/>
        </w:rPr>
        <w:t>7.2. Geopolítica, Firmware y Neutralidad de la Red</w:t>
      </w:r>
    </w:p>
    <w:p>
      <w:r>
        <w:t>Las redes modernas conllevan importantes tensiones sociotécnicas:</w:t>
      </w:r>
    </w:p>
    <w:p>
      <w:pPr>
        <w:pStyle w:val="ListBullet"/>
      </w:pPr>
      <w:r>
        <w:rPr>
          <w:b/>
        </w:rPr>
        <w:t xml:space="preserve">Caja Negra del Firmware: </w:t>
      </w:r>
      <w:r>
        <w:t>Muchos controladores de red y módems de banda base celulares operan con microcódigo binario propietario cerrado (firmware), lo que genera debates geopolíticos sobre soberanía tecnológica y auditoría de ciberseguridad.</w:t>
      </w:r>
    </w:p>
    <w:p>
      <w:pPr>
        <w:pStyle w:val="ListBullet"/>
      </w:pPr>
      <w:r>
        <w:rPr>
          <w:b/>
        </w:rPr>
        <w:t xml:space="preserve">Neutralidad de la Red (Net Neutrality): </w:t>
      </w:r>
      <w:r>
        <w:t xml:space="preserve">Principio según el cual los proveedores de servicios de Internet (ISPs) y los operadores deben tratar todo el tráfico de datos por igual, sin discriminar, restringir ni priorizar paquetes en función del contenido, remitente, destinatario o aplicación. La práctica comercial de </w:t>
      </w:r>
      <w:r>
        <w:rPr>
          <w:i/>
        </w:rPr>
        <w:t>Zero-Rating</w:t>
      </w:r>
      <w:r>
        <w:t xml:space="preserve"> (ej. datos bonificados para aplicaciones específicas como WhatsApp) representa una transgresión de este principio que condiciona la competencia.</w:t>
      </w:r>
    </w:p>
    <w:p>
      <w:pPr>
        <w:keepNext/>
        <w:spacing w:before="320" w:after="120"/>
      </w:pPr>
      <w:r>
        <w:rPr>
          <w:rFonts w:ascii="Calibri" w:hAnsi="Calibri"/>
          <w:b/>
          <w:color w:val="182B49"/>
          <w:sz w:val="32"/>
        </w:rPr>
        <w:t>8. Unidades de Medida en Redes: Bits vs. Bytes</w:t>
      </w:r>
    </w:p>
    <w:p>
      <w:r>
        <w:t>En la práctica profesional de redes, es crítico no cometer errores de conversión entre las unidades de transmisión y las unidades de almacenamiento del sistema operativo:</w:t>
      </w:r>
    </w:p>
    <w:tbl>
      <w:tblPr>
        <w:tblW w:type="auto" w:w="0"/>
        <w:jc w:val="center"/>
        <w:tblLayout w:type="fixed"/>
        <w:tblLook w:firstColumn="1" w:firstRow="1" w:lastColumn="0" w:lastRow="0" w:noHBand="0" w:noVBand="1" w:val="04A0"/>
        <w:tblBorders>
          <w:top w:val="single" w:sz="4" w:space="0" w:color="D0D7DE"/>
          <w:bottom w:val="single" w:sz="6" w:space="0" w:color="182B49"/>
          <w:left w:val="none"/>
          <w:right w:val="none"/>
          <w:insideH w:val="single" w:sz="4" w:space="0" w:color="E1E4E8"/>
          <w:insideV w:val="none"/>
        </w:tblBorders>
      </w:tblPr>
      <w:tblGrid>
        <w:gridCol w:w="4680"/>
        <w:gridCol w:w="4680"/>
      </w:tblGrid>
      <w:tr>
        <w:tc>
          <w:tcPr>
            <w:tcW w:type="dxa" w:w="4680"/>
            <w:shd w:fill="182B49"/>
            <w:tcMar>
              <w:top w:w="120" w:type="dxa"/>
              <w:bottom w:w="120" w:type="dxa"/>
              <w:left w:w="140" w:type="dxa"/>
              <w:right w:w="140" w:type="dxa"/>
            </w:tcMar>
          </w:tcPr>
          <w:p>
            <w:pPr>
              <w:jc w:val="left"/>
            </w:pPr>
            <w:r>
              <w:rPr>
                <w:rFonts w:ascii="Calibri" w:hAnsi="Calibri"/>
                <w:b/>
                <w:color w:val="FFFFFF"/>
                <w:sz w:val="20"/>
              </w:rPr>
              <w:t>Mundo de las Telecomunicaciones (Redes)</w:t>
            </w:r>
          </w:p>
        </w:tc>
        <w:tc>
          <w:tcPr>
            <w:tcW w:type="dxa" w:w="4680"/>
            <w:shd w:fill="182B49"/>
            <w:tcMar>
              <w:top w:w="120" w:type="dxa"/>
              <w:bottom w:w="120" w:type="dxa"/>
              <w:left w:w="140" w:type="dxa"/>
              <w:right w:w="140" w:type="dxa"/>
            </w:tcMar>
          </w:tcPr>
          <w:p>
            <w:pPr>
              <w:jc w:val="left"/>
            </w:pPr>
            <w:r>
              <w:rPr>
                <w:rFonts w:ascii="Calibri" w:hAnsi="Calibri"/>
                <w:b/>
                <w:color w:val="FFFFFF"/>
                <w:sz w:val="20"/>
              </w:rPr>
              <w:t>Mundo de los Sistemas Operativos (Almacenamiento)</w:t>
            </w:r>
          </w:p>
        </w:tc>
      </w:tr>
      <w:tr>
        <w:tc>
          <w:tcPr>
            <w:tcW w:type="dxa" w:w="4680"/>
            <w:shd w:fill="FFFFFF"/>
            <w:tcMar>
              <w:top w:w="100" w:type="dxa"/>
              <w:bottom w:w="100" w:type="dxa"/>
              <w:left w:w="140" w:type="dxa"/>
              <w:right w:w="140" w:type="dxa"/>
            </w:tcMar>
          </w:tcPr>
          <w:p>
            <w:pPr>
              <w:spacing w:line="276" w:lineRule="auto" w:after="40"/>
            </w:pPr>
            <w:r>
              <w:rPr>
                <w:rFonts w:ascii="Calibri" w:hAnsi="Calibri"/>
                <w:color w:val="2C3E50"/>
                <w:sz w:val="19"/>
              </w:rPr>
              <w:t>Unidad base: BIT (b) — Flujo serial de datos.</w:t>
            </w:r>
          </w:p>
        </w:tc>
        <w:tc>
          <w:tcPr>
            <w:tcW w:type="dxa" w:w="4680"/>
            <w:shd w:fill="FFFFFF"/>
            <w:tcMar>
              <w:top w:w="100" w:type="dxa"/>
              <w:bottom w:w="100" w:type="dxa"/>
              <w:left w:w="140" w:type="dxa"/>
              <w:right w:w="140" w:type="dxa"/>
            </w:tcMar>
          </w:tcPr>
          <w:p>
            <w:pPr>
              <w:spacing w:line="276" w:lineRule="auto" w:after="40"/>
            </w:pPr>
            <w:r>
              <w:rPr>
                <w:rFonts w:ascii="Calibri" w:hAnsi="Calibri"/>
                <w:color w:val="2C3E50"/>
                <w:sz w:val="19"/>
              </w:rPr>
              <w:t>Unidad base: BYTE / OCTETO (B) — 1 Byte = 8 bits.</w:t>
            </w:r>
          </w:p>
        </w:tc>
      </w:tr>
      <w:tr>
        <w:tc>
          <w:tcPr>
            <w:tcW w:type="dxa" w:w="4680"/>
            <w:shd w:fill="F4F6F9"/>
            <w:tcMar>
              <w:top w:w="100" w:type="dxa"/>
              <w:bottom w:w="100" w:type="dxa"/>
              <w:left w:w="140" w:type="dxa"/>
              <w:right w:w="140" w:type="dxa"/>
            </w:tcMar>
          </w:tcPr>
          <w:p>
            <w:pPr>
              <w:spacing w:line="276" w:lineRule="auto" w:after="40"/>
            </w:pPr>
            <w:r>
              <w:rPr>
                <w:rFonts w:ascii="Calibri" w:hAnsi="Calibri"/>
                <w:color w:val="2C3E50"/>
                <w:sz w:val="19"/>
              </w:rPr>
              <w:t>Prefijos Decimales (Sistema Internacional - Potencias de 10):</w:t>
            </w:r>
          </w:p>
        </w:tc>
        <w:tc>
          <w:tcPr>
            <w:tcW w:type="dxa" w:w="4680"/>
            <w:shd w:fill="F4F6F9"/>
            <w:tcMar>
              <w:top w:w="100" w:type="dxa"/>
              <w:bottom w:w="100" w:type="dxa"/>
              <w:left w:w="140" w:type="dxa"/>
              <w:right w:w="140" w:type="dxa"/>
            </w:tcMar>
          </w:tcPr>
          <w:p>
            <w:pPr>
              <w:spacing w:line="276" w:lineRule="auto" w:after="40"/>
            </w:pPr>
            <w:r>
              <w:rPr>
                <w:rFonts w:ascii="Calibri" w:hAnsi="Calibri"/>
                <w:color w:val="2C3E50"/>
                <w:sz w:val="19"/>
              </w:rPr>
              <w:t>Prefijos Binarios (Estándar IEC - Potencias de 2):</w:t>
            </w:r>
          </w:p>
        </w:tc>
      </w:tr>
      <w:tr>
        <w:tc>
          <w:tcPr>
            <w:tcW w:type="dxa" w:w="4680"/>
            <w:shd w:fill="FFFFFF"/>
            <w:tcMar>
              <w:top w:w="100" w:type="dxa"/>
              <w:bottom w:w="100" w:type="dxa"/>
              <w:left w:w="140" w:type="dxa"/>
              <w:right w:w="140" w:type="dxa"/>
            </w:tcMar>
          </w:tcPr>
          <w:p>
            <w:pPr>
              <w:spacing w:line="276" w:lineRule="auto" w:after="40"/>
            </w:pPr>
            <w:r>
              <w:rPr>
                <w:rFonts w:ascii="Calibri" w:hAnsi="Calibri"/>
                <w:color w:val="2C3E50"/>
                <w:sz w:val="19"/>
              </w:rPr>
              <w:t>1 kbps = 10³ bps = 1.000 bps</w:t>
            </w:r>
          </w:p>
        </w:tc>
        <w:tc>
          <w:tcPr>
            <w:tcW w:type="dxa" w:w="4680"/>
            <w:shd w:fill="FFFFFF"/>
            <w:tcMar>
              <w:top w:w="100" w:type="dxa"/>
              <w:bottom w:w="100" w:type="dxa"/>
              <w:left w:w="140" w:type="dxa"/>
              <w:right w:w="140" w:type="dxa"/>
            </w:tcMar>
          </w:tcPr>
          <w:p>
            <w:pPr>
              <w:spacing w:line="276" w:lineRule="auto" w:after="40"/>
            </w:pPr>
            <w:r>
              <w:rPr>
                <w:rFonts w:ascii="Calibri" w:hAnsi="Calibri"/>
                <w:color w:val="2C3E50"/>
                <w:sz w:val="19"/>
              </w:rPr>
              <w:t>1 KiB (Kibibyte) = 2¹⁰ B = 1.024 Bytes</w:t>
            </w:r>
          </w:p>
        </w:tc>
      </w:tr>
      <w:tr>
        <w:tc>
          <w:tcPr>
            <w:tcW w:type="dxa" w:w="4680"/>
            <w:shd w:fill="F4F6F9"/>
            <w:tcMar>
              <w:top w:w="100" w:type="dxa"/>
              <w:bottom w:w="100" w:type="dxa"/>
              <w:left w:w="140" w:type="dxa"/>
              <w:right w:w="140" w:type="dxa"/>
            </w:tcMar>
          </w:tcPr>
          <w:p>
            <w:pPr>
              <w:spacing w:line="276" w:lineRule="auto" w:after="40"/>
            </w:pPr>
            <w:r>
              <w:rPr>
                <w:rFonts w:ascii="Calibri" w:hAnsi="Calibri"/>
                <w:color w:val="2C3E50"/>
                <w:sz w:val="19"/>
              </w:rPr>
              <w:t>1 Mbps = 10⁶ bps = 1.000.000 bps</w:t>
            </w:r>
          </w:p>
        </w:tc>
        <w:tc>
          <w:tcPr>
            <w:tcW w:type="dxa" w:w="4680"/>
            <w:shd w:fill="F4F6F9"/>
            <w:tcMar>
              <w:top w:w="100" w:type="dxa"/>
              <w:bottom w:w="100" w:type="dxa"/>
              <w:left w:w="140" w:type="dxa"/>
              <w:right w:w="140" w:type="dxa"/>
            </w:tcMar>
          </w:tcPr>
          <w:p>
            <w:pPr>
              <w:spacing w:line="276" w:lineRule="auto" w:after="40"/>
            </w:pPr>
            <w:r>
              <w:rPr>
                <w:rFonts w:ascii="Calibri" w:hAnsi="Calibri"/>
                <w:color w:val="2C3E50"/>
                <w:sz w:val="19"/>
              </w:rPr>
              <w:t>1 MiB (Mebibyte) = 2²⁰ B = 1.048.576 Bytes</w:t>
            </w:r>
          </w:p>
        </w:tc>
      </w:tr>
      <w:tr>
        <w:tc>
          <w:tcPr>
            <w:tcW w:type="dxa" w:w="4680"/>
            <w:shd w:fill="FFFFFF"/>
            <w:tcMar>
              <w:top w:w="100" w:type="dxa"/>
              <w:bottom w:w="100" w:type="dxa"/>
              <w:left w:w="140" w:type="dxa"/>
              <w:right w:w="140" w:type="dxa"/>
            </w:tcMar>
          </w:tcPr>
          <w:p>
            <w:pPr>
              <w:spacing w:line="276" w:lineRule="auto" w:after="40"/>
            </w:pPr>
            <w:r>
              <w:rPr>
                <w:rFonts w:ascii="Calibri" w:hAnsi="Calibri"/>
                <w:color w:val="2C3E50"/>
                <w:sz w:val="19"/>
              </w:rPr>
              <w:t>1 Gbps = 10⁹ bps = 1.000.000.000 bps</w:t>
            </w:r>
          </w:p>
        </w:tc>
        <w:tc>
          <w:tcPr>
            <w:tcW w:type="dxa" w:w="4680"/>
            <w:shd w:fill="FFFFFF"/>
            <w:tcMar>
              <w:top w:w="100" w:type="dxa"/>
              <w:bottom w:w="100" w:type="dxa"/>
              <w:left w:w="140" w:type="dxa"/>
              <w:right w:w="140" w:type="dxa"/>
            </w:tcMar>
          </w:tcPr>
          <w:p>
            <w:pPr>
              <w:spacing w:line="276" w:lineRule="auto" w:after="40"/>
            </w:pPr>
            <w:r>
              <w:rPr>
                <w:rFonts w:ascii="Calibri" w:hAnsi="Calibri"/>
                <w:color w:val="2C3E50"/>
                <w:sz w:val="19"/>
              </w:rPr>
              <w:t>1 GiB (Gibibyte) = 2³⁰ B = 1.073.741.824 Bytes</w:t>
            </w:r>
          </w:p>
        </w:tc>
      </w:tr>
    </w:tbl>
    <w:p/>
    <w:tbl>
      <w:tblPr>
        <w:tblW w:type="auto" w:w="0"/>
        <w:jc w:val="center"/>
        <w:tblLayout w:type="fixed"/>
        <w:tblLook w:firstColumn="1" w:firstRow="1" w:lastColumn="0" w:lastRow="0" w:noHBand="0" w:noVBand="1" w:val="04A0"/>
      </w:tblPr>
      <w:tblGrid>
        <w:gridCol w:w="9360"/>
      </w:tblGrid>
      <w:tr>
        <w:tc>
          <w:tcPr>
            <w:tcW w:type="dxa" w:w="9360"/>
            <w:shd w:fill="FEF9E7"/>
            <w:tcMar>
              <w:top w:w="140" w:type="dxa"/>
              <w:bottom w:w="140" w:type="dxa"/>
              <w:left w:w="200" w:type="dxa"/>
              <w:right w:w="150" w:type="dxa"/>
            </w:tcMar>
            <w:tcBorders>
              <w:top w:val="none"/>
              <w:left w:val="single" w:sz="24" w:space="0" w:color="F39C12"/>
              <w:bottom w:val="none"/>
              <w:right w:val="none"/>
            </w:tcBorders>
          </w:tcPr>
          <w:p>
            <w:pPr>
              <w:spacing w:after="60" w:line="276" w:lineRule="auto"/>
            </w:pPr>
            <w:r>
              <w:rPr>
                <w:rFonts w:ascii="Calibri" w:hAnsi="Calibri"/>
                <w:b/>
                <w:color w:val="B4640A"/>
                <w:sz w:val="21"/>
              </w:rPr>
              <w:t>📌 REGLA PRÁCTICA DE CÁLCULO</w:t>
              <w:br/>
            </w:r>
            <w:r>
              <w:rPr>
                <w:rFonts w:ascii="Calibri" w:hAnsi="Calibri"/>
                <w:color w:val="2C3E50"/>
                <w:sz w:val="20"/>
              </w:rPr>
              <w:t>Cálculo Rápido de Tasa de Descarga:</w:t>
            </w:r>
          </w:p>
          <w:p>
            <w:pPr>
              <w:spacing w:after="60" w:line="276" w:lineRule="auto"/>
            </w:pPr>
            <w:r>
              <w:rPr>
                <w:rFonts w:ascii="Calibri" w:hAnsi="Calibri"/>
                <w:color w:val="2C3E50"/>
                <w:sz w:val="20"/>
              </w:rPr>
              <w:t>Un enlace comercial de Internet contratado a 100 Mbps (Megabits por segundo) entrega teóricamente un máximo de 100 / 8 = 12.5 MB/s (Megabytes por segundo), sin considerar la sobrecarga adicional (overhead) de los encabezados Ethernet, IP y TCP.</w:t>
            </w:r>
          </w:p>
        </w:tc>
      </w:tr>
    </w:tbl>
    <w:p/>
    <w:p>
      <w:pPr>
        <w:keepNext/>
        <w:spacing w:before="320" w:after="120"/>
      </w:pPr>
      <w:r>
        <w:rPr>
          <w:rFonts w:ascii="Calibri" w:hAnsi="Calibri"/>
          <w:b/>
          <w:color w:val="182B49"/>
          <w:sz w:val="32"/>
        </w:rPr>
        <w:t>9. Glosario de Conceptos Clave</w:t>
      </w:r>
    </w:p>
    <w:p>
      <w:pPr>
        <w:pStyle w:val="ListBullet"/>
        <w:spacing w:after="60"/>
      </w:pPr>
      <w:r>
        <w:rPr>
          <w:b/>
        </w:rPr>
        <w:t xml:space="preserve">Datagrama (Datagram): </w:t>
      </w:r>
      <w:r>
        <w:t>Unidad de datos de Capa 3 que contiene suficiente información de direccionamiento para ser enrutada independientemente por la red sin requerir una conexión previa.</w:t>
      </w:r>
    </w:p>
    <w:p>
      <w:pPr>
        <w:pStyle w:val="ListBullet"/>
        <w:spacing w:after="60"/>
      </w:pPr>
      <w:r>
        <w:rPr>
          <w:b/>
        </w:rPr>
        <w:t xml:space="preserve">Trama (Frame): </w:t>
      </w:r>
      <w:r>
        <w:t>Unidad de datos de Capa 2 (Enlace) que encapsula al paquete IP y añade delimitadores, direcciones MAC físicas y un trailer de verificación CRC.</w:t>
      </w:r>
    </w:p>
    <w:p>
      <w:pPr>
        <w:pStyle w:val="ListBullet"/>
        <w:spacing w:after="60"/>
      </w:pPr>
      <w:r>
        <w:rPr>
          <w:b/>
        </w:rPr>
        <w:t xml:space="preserve">MTU (Maximum Transmission Unit): </w:t>
      </w:r>
      <w:r>
        <w:t>Tamaño máximo en bytes que puede tener una trama en el nivel de enlace (típicamente 1500 bytes en Ethernet estándar) antes de obligar a fragmentar el paquete IP.</w:t>
      </w:r>
    </w:p>
    <w:p>
      <w:pPr>
        <w:pStyle w:val="ListBullet"/>
        <w:spacing w:after="60"/>
      </w:pPr>
      <w:r>
        <w:rPr>
          <w:b/>
        </w:rPr>
        <w:t xml:space="preserve">CSMA/CA: </w:t>
      </w:r>
      <w:r>
        <w:t>Mecanismo de acceso múltiple con detección de portadora y evasión de colisiones utilizado en redes inalámbricas 802.11.</w:t>
      </w:r>
    </w:p>
    <w:p>
      <w:pPr>
        <w:pStyle w:val="ListBullet"/>
        <w:spacing w:after="60"/>
      </w:pPr>
      <w:r>
        <w:rPr>
          <w:b/>
        </w:rPr>
        <w:t xml:space="preserve">Socket: </w:t>
      </w:r>
      <w:r>
        <w:t>Punto final de comunicación bidireccional abstraído por el sistema operativo, compuesto por la combinación de una dirección IP y un número de puerto.</w:t>
      </w:r>
    </w:p>
    <w:p>
      <w:pPr>
        <w:pStyle w:val="ListBullet"/>
        <w:spacing w:after="60"/>
      </w:pPr>
      <w:r>
        <w:rPr>
          <w:b/>
        </w:rPr>
        <w:t xml:space="preserve">Store-and-Forward: </w:t>
      </w:r>
      <w:r>
        <w:t>Técnica de conmutación donde un switch recibe la trama completa y valida su integridad (CRC) antes de reenviarla.</w:t>
      </w:r>
    </w:p>
    <w:p>
      <w:pPr>
        <w:keepNext/>
        <w:spacing w:before="320" w:after="120"/>
      </w:pPr>
      <w:r>
        <w:rPr>
          <w:rFonts w:ascii="Calibri" w:hAnsi="Calibri"/>
          <w:b/>
          <w:color w:val="182B49"/>
          <w:sz w:val="32"/>
        </w:rPr>
        <w:t>10. Preguntas de Autoevaluación y Repaso</w:t>
      </w:r>
    </w:p>
    <w:p>
      <w:pPr>
        <w:keepNext/>
        <w:spacing w:before="120" w:after="40"/>
      </w:pPr>
      <w:r>
        <w:rPr>
          <w:b/>
          <w:color w:val="182B49"/>
        </w:rPr>
        <w:t>Pregunta 1: ¿Por qué una red basada en conmutación de paquetes (datagramas) es intrínsecamente más tolerante a fallos que una de conmutación de circuitos?</w:t>
      </w:r>
    </w:p>
    <w:p>
      <w:pPr>
        <w:spacing w:after="120"/>
      </w:pPr>
      <w:r>
        <w:t>Respuesta: Porque en la conmutación de paquetes no existe una ruta física dedicada fija. Cada datagrama contiene la dirección de destino y los enrutadores intermedios toman decisiones autónomas en tiempo real. Si un nodo o enlace intermedio se destruye, los algoritmos de enrutamiento detectan la caída y redirigen el tráfico subsiguiente por rutas alternativas.</w:t>
      </w:r>
    </w:p>
    <w:p>
      <w:pPr>
        <w:keepNext/>
        <w:spacing w:before="120" w:after="40"/>
      </w:pPr>
      <w:r>
        <w:rPr>
          <w:b/>
          <w:color w:val="182B49"/>
        </w:rPr>
        <w:t>Pregunta 2: Si el protocolo IP (Capa 3) es no confiable y sin conexión, ¿cómo es posible descargar un archivo ejecutable complejo a través de Internet sin corrupción de datos?</w:t>
      </w:r>
    </w:p>
    <w:p>
      <w:pPr>
        <w:spacing w:after="120"/>
      </w:pPr>
      <w:r>
        <w:t>Respuesta: Gracias a la modularidad del modelo en capas. Aunque la Capa de Red (IP) ofrece un servicio de 'mejor esfuerzo' que puede perder o desordenar paquetes, la Capa de Transporte superior utiliza TCP, el cual implementa números de secuencia, temporizadores y confirmaciones (ACKs) de extremo a extremo, retransmitiendo automáticamente cualquier segmento extraviado antes de entregar los datos a la aplicación.</w:t>
      </w:r>
    </w:p>
    <w:p>
      <w:pPr>
        <w:keepNext/>
        <w:spacing w:before="120" w:after="40"/>
      </w:pPr>
      <w:r>
        <w:rPr>
          <w:b/>
          <w:color w:val="182B49"/>
        </w:rPr>
        <w:t>Pregunta 3: ¿Cuál es la diferencia fundamental entre el Control de Flujo y el Control de Congestión?</w:t>
      </w:r>
    </w:p>
    <w:p>
      <w:pPr>
        <w:spacing w:after="120"/>
      </w:pPr>
      <w:r>
        <w:t>Respuesta: El Control de Flujo previene que un emisor rápido sature el buffer de un receptor lento (comunicación directa extremo a extremo). El Control de Congestión previene que la suma de todos los emisores de la red sature los recursos y buffers de los routers y enlaces intermedios compartidos.</w:t>
      </w:r>
    </w:p>
    <w:p>
      <w:pPr>
        <w:keepNext/>
        <w:spacing w:before="120" w:after="40"/>
      </w:pPr>
      <w:r>
        <w:rPr>
          <w:b/>
          <w:color w:val="182B49"/>
        </w:rPr>
        <w:t>Pregunta 4: ¿Por qué en redes inalámbricas Wi-Fi se utiliza CSMA/CA en lugar de CSMA/CD de Ethernet?</w:t>
      </w:r>
    </w:p>
    <w:p>
      <w:pPr>
        <w:spacing w:after="120"/>
      </w:pPr>
      <w:r>
        <w:t>Respuesta: Porque la atenuación del medio inalámbrico y la potencia del transmisor local hacen inviable detectar colisiones mientras se transmite (la señal transmitida ahoga cualquier señal recibida). Por ello, Wi-Fi prioriza evitar las colisiones (Collision Avoidance) mediante temporizadores aleatorios (Backoff) y acuses de recibo explícitos.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