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Ilan LACHAUME</w:t>
      </w:r>
    </w:p>
    <w:p>
      <w:r>
        <w:t>Chargé d'affaires - Rennes</w:t>
      </w:r>
    </w:p>
    <w:p>
      <w:r>
        <w:t>ilan.lachaume@exemple.invalid - 06 39 98 95 83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2024 - 2026 | Maline Industries, Angers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2023 - 2024 | Ouest Numérique, Brest</w:t>
      </w:r>
    </w:p>
    <w:p>
      <w:r>
        <w:t xml:space="preserve">  Vente de licences logicielles à des PME, compréhension du modèle par abonnement.</w:t>
      </w:r>
    </w:p>
    <w:p>
      <w:r>
        <w:t>2022 - 2023 | Maline Industries, La Rochelle</w:t>
      </w:r>
    </w:p>
    <w:p>
      <w:r>
        <w:t xml:space="preserve">  Usage avancé de Salesforce : vues et rapports personnalisés, prévisionnel hebdomadaire fiable à 10 % près, hygiène de données suivie.</w:t>
      </w:r>
    </w:p>
    <w:p>
      <w:r>
        <w:t>2020 - 2022 | Ouest Numérique, Le Mans</w:t>
      </w:r>
    </w:p>
    <w:p>
      <w:r>
        <w:t xml:space="preserve">  Cycles B2B de trois à quatre mois auprès de PME, un ou deux interlocuteurs, environ quinze affaires signées par an.</w:t>
      </w:r>
    </w:p>
    <w:p>
      <w:r>
        <w:t>2018 - 2020 | Ternova, Le Mans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>
      <w:r>
        <w:t>2015 - 2018 | Ternova, Vannes</w:t>
      </w:r>
    </w:p>
    <w:p>
      <w:r>
        <w:t xml:space="preserve">  Échanges écrits courants en anglais avec des fournisseurs étrangers.</w:t>
      </w:r>
    </w:p>
    <w:p/>
    <w:p>
      <w:r>
        <w:t>FORMATION</w:t>
      </w:r>
    </w:p>
    <w:p>
      <w:r>
        <w:t>Master marketing et vente, université fictive de Brest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