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Maxime CASSARD</w:t>
      </w:r>
    </w:p>
    <w:p>
      <w:r>
        <w:t>Responsable de secteur - La Rochelle</w:t>
      </w:r>
    </w:p>
    <w:p>
      <w:r>
        <w:t>maxime.cassard@exemple.invalid - 06 39 98 24 47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2024 - 2026 | Cabrion, La Rochelle</w:t>
      </w:r>
    </w:p>
    <w:p>
      <w:r>
        <w:t xml:space="preserve">  Référent CRM de l'équipe commerciale : définition des étapes du cycle, tableaux de bord de prévision, formation des nouveaux arrivants, adoption passée de 40 % à 95 % des opportunités tenues à jour.</w:t>
      </w:r>
    </w:p>
    <w:p>
      <w:r>
        <w:t>2021 - 2024 | Feldspar, Brest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>
      <w:r>
        <w:t>2018 - 2021 | Arvorix, Tours</w:t>
      </w:r>
    </w:p>
    <w:p>
      <w:r>
        <w:t xml:space="preserve">  Vente de logiciels en mode abonnement à des établissements de santé : connaissance des circuits de décision et des contraintes réglementaires.</w:t>
      </w:r>
    </w:p>
    <w:p>
      <w:r>
        <w:t>2017 - 2018 | Groupe Vasseur, Rennes</w:t>
      </w:r>
    </w:p>
    <w:p>
      <w:r>
        <w:t xml:space="preserve">  Négociation de contrats-cadres avec les directions achats : préparation des concessions, gestion des appels d'offres, taux de conclusion de 41 % et érosion de marge contenue sous 4 %.</w:t>
      </w:r>
    </w:p>
    <w:p>
      <w:r>
        <w:t>2014 - 2017 | Maline Industries, Vannes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>
      <w:r>
        <w:t>2013 - 2014 | Sogedim, Vannes</w:t>
      </w:r>
    </w:p>
    <w:p>
      <w:r>
        <w:t xml:space="preserve">  Anglais professionnel : réunions hebdomadaires avec la maison mère britannique, comptes rendus rédigés en anglais.</w:t>
      </w:r>
    </w:p>
    <w:p/>
    <w:p>
      <w:r>
        <w:t>FORMATION</w:t>
      </w:r>
    </w:p>
    <w:p>
      <w:r>
        <w:t>Licence professionnelle technico-commerciale, Brest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