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F3864"/>
          <w:sz w:val="44"/>
        </w:rPr>
        <w:t>Resumo Executivo</w:t>
      </w:r>
    </w:p>
    <w:p>
      <w:pPr>
        <w:spacing w:after="40"/>
      </w:pPr>
      <w:r>
        <w:rPr>
          <w:color w:val="2E4057"/>
          <w:sz w:val="26"/>
        </w:rPr>
        <w:t>Farol de Priorização de Melhorias — Produto Físico</w:t>
      </w:r>
    </w:p>
    <w:p>
      <w:pPr>
        <w:spacing w:after="280"/>
      </w:pPr>
      <w:r>
        <w:rPr>
          <w:color w:val="888888"/>
          <w:sz w:val="20"/>
        </w:rPr>
        <w:t>Análise de 115 produtos  ·  12 meses de dados (Troquecommerce)  ·  Gerado em 12/06/2026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1. O que é esta planilha</w:t>
      </w:r>
    </w:p>
    <w:p>
      <w:pPr>
        <w:spacing w:after="80"/>
      </w:pPr>
      <w:r>
        <w:rPr>
          <w:sz w:val="22"/>
        </w:rPr>
        <w:t>Esta planilha é um farol de priorização de melhorias de produto físico. A partir de 12 meses de dados de Troca &amp; Devolução (Troquecommerce), tração comercial e scorecards de portfólio, ela classifica os 115 produtos analisados segundo a urgência de ação — transformando um volume alto de eventos de reversa em uma lista ordenada e acionável de investigações.</w:t>
      </w:r>
    </w:p>
    <w:p>
      <w:pPr>
        <w:spacing w:after="40"/>
      </w:pPr>
    </w:p>
    <w:p>
      <w:pPr>
        <w:spacing w:after="80"/>
      </w:pPr>
      <w:r>
        <w:rPr>
          <w:sz w:val="22"/>
        </w:rPr>
        <w:t>O instrumento não é um relatório de T&amp;D convencional. Ele não reporta apenas quem tem mais troca: prioriza quem combina dor real de T&amp;D com relevância comercial suficiente para que a melhoria gere retorno mensurável para o negócio.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2. Para que serve</w:t>
      </w:r>
    </w:p>
    <w:p>
      <w:pPr>
        <w:pStyle w:val="ListBullet"/>
        <w:spacing w:after="60"/>
        <w:ind w:left="432"/>
      </w:pPr>
      <w:r>
        <w:rPr>
          <w:sz w:val="22"/>
        </w:rPr>
        <w:t>Priorizar produtos para investigação de causa-raiz e plano de melhoria física.</w:t>
      </w:r>
    </w:p>
    <w:p>
      <w:pPr>
        <w:pStyle w:val="ListBullet"/>
        <w:spacing w:after="60"/>
        <w:ind w:left="432"/>
      </w:pPr>
      <w:r>
        <w:rPr>
          <w:sz w:val="22"/>
        </w:rPr>
        <w:t>Orientar decisões de Produto, Qualidade, Estilo, Modelagem, Buying e Operações sobre onde concentrar energia primeiro.</w:t>
      </w:r>
    </w:p>
    <w:p>
      <w:pPr>
        <w:pStyle w:val="ListBullet"/>
        <w:spacing w:after="60"/>
        <w:ind w:left="432"/>
      </w:pPr>
      <w:r>
        <w:rPr>
          <w:sz w:val="22"/>
        </w:rPr>
        <w:t>Apoiar discussões de portfólio: produtos que devem ter modelagem revisada, grade corrigida, tecido substituído, comunicação melhorada no site ou descontinuação acelerada.</w:t>
      </w:r>
    </w:p>
    <w:p>
      <w:pPr>
        <w:pStyle w:val="ListBullet"/>
        <w:spacing w:after="60"/>
        <w:ind w:left="432"/>
      </w:pPr>
      <w:r>
        <w:rPr>
          <w:sz w:val="22"/>
        </w:rPr>
        <w:t>Acompanhar evolução de T&amp;D ao longo do tempo — tendência recente é um dos sinais do modelo.</w:t>
      </w:r>
    </w:p>
    <w:p>
      <w:pPr>
        <w:pStyle w:val="ListBullet"/>
        <w:spacing w:after="60"/>
        <w:ind w:left="432"/>
      </w:pPr>
      <w:r>
        <w:rPr>
          <w:sz w:val="22"/>
        </w:rPr>
        <w:t>Proteger receita, margem e NPS: cada ponto de T&amp;D reduzido em um produto Hero representa impacto direto no resultado.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3. Como foi construída</w:t>
      </w:r>
    </w:p>
    <w:p>
      <w:pPr>
        <w:spacing w:after="80"/>
      </w:pPr>
      <w:r>
        <w:rPr>
          <w:sz w:val="22"/>
        </w:rPr>
        <w:t>A lógica de construção combina quatro camadas de análise: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sz w:val="22"/>
        </w:rPr>
        <w:t>12 meses de registros de T&amp;D por produto, com tagueamento de motivo (caimento, modelagem, grade, tecido, qualidade, logística etc.).</w:t>
      </w:r>
      <w:r>
        <w:rPr>
          <w:sz w:val="22"/>
        </w:rPr>
        <w:t xml:space="preserve"> Base de dados:</w:t>
      </w:r>
    </w:p>
    <w:p>
      <w:pPr>
        <w:pStyle w:val="ListBullet"/>
        <w:spacing w:after="60"/>
        <w:ind w:left="432"/>
      </w:pPr>
      <w:r>
        <w:rPr>
          <w:b/>
          <w:sz w:val="22"/>
        </w:rPr>
        <w:t>Cada produto recebe um TD Score (intensidade da dor de T&amp;D) e um Commercial Score (relevância de receita e volume). Ambos são calculados como percentis sobre o universo de produtos, garantindo comparabilidade.</w:t>
      </w:r>
      <w:r>
        <w:rPr>
          <w:sz w:val="22"/>
        </w:rPr>
        <w:t xml:space="preserve"> Scores individuais:</w:t>
      </w:r>
    </w:p>
    <w:p>
      <w:pPr>
        <w:pStyle w:val="ListBullet"/>
        <w:spacing w:after="60"/>
        <w:ind w:left="432"/>
      </w:pPr>
      <w:r>
        <w:rPr>
          <w:b/>
          <w:sz w:val="22"/>
        </w:rPr>
        <w:t>O TD Score penaliza produtos que se desviam negativamente da média da sua própria categoria — evitando que categorias estruturalmente mais sensíveis (ex.: shorts, vestidos) sejam comparadas de forma injusta com categorias de baixo retorno natural (ex.: underwear, camisetas básicas).</w:t>
      </w:r>
      <w:r>
        <w:rPr>
          <w:sz w:val="22"/>
        </w:rPr>
        <w:t xml:space="preserve"> Benchmark por categoria:</w:t>
      </w:r>
    </w:p>
    <w:p>
      <w:pPr>
        <w:pStyle w:val="ListBullet"/>
        <w:spacing w:after="60"/>
        <w:ind w:left="432"/>
      </w:pPr>
      <w:r>
        <w:rPr>
          <w:b/>
          <w:sz w:val="22"/>
        </w:rPr>
        <w:t>O Priority Score combina TD Score (60%) e Commercial Score (40%). O farol classifica o produto em cinco buckets: 🔴 Priorizar Melhoria, 🟡 Alerta em Produto Relevante, 🟠 Monitorar, ⚪ Não Priorizar Agora e ⬜ Sem Evidência Suficiente.</w:t>
      </w:r>
      <w:r>
        <w:rPr>
          <w:sz w:val="22"/>
        </w:rPr>
        <w:t xml:space="preserve"> Priority Score e farol:</w:t>
      </w:r>
    </w:p>
    <w:p>
      <w:pPr>
        <w:pStyle w:val="ListBullet"/>
        <w:spacing w:after="60"/>
        <w:ind w:left="432"/>
      </w:pPr>
      <w:r>
        <w:rPr>
          <w:b/>
          <w:sz w:val="22"/>
        </w:rPr>
        <w:t>Comparação dos últimos 3 meses de reversas versus os 3 meses anteriores — sinalizando se o problema está acelerando, estável ou se resolvendo.</w:t>
      </w:r>
      <w:r>
        <w:rPr>
          <w:sz w:val="22"/>
        </w:rPr>
        <w:t xml:space="preserve"> Tendência recente:</w:t>
      </w:r>
    </w:p>
    <w:p>
      <w:pPr>
        <w:spacing w:after="40"/>
      </w:pPr>
    </w:p>
    <w:p>
      <w:pPr>
        <w:spacing w:after="80"/>
      </w:pPr>
      <w:r>
        <w:rPr>
          <w:sz w:val="22"/>
        </w:rPr>
        <w:t>Critérios de classificação dos sinais de farol: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sz w:val="22"/>
        </w:rPr>
        <w:t>TD Score ≥ 0,70 e Commercial Score ≥ 0,60. Alta dor + alta tração: ação imediata.</w:t>
      </w:r>
      <w:r>
        <w:rPr>
          <w:sz w:val="22"/>
        </w:rPr>
        <w:t xml:space="preserve"> 🔴 Priorizar Melhoria:</w:t>
      </w:r>
    </w:p>
    <w:p>
      <w:pPr>
        <w:pStyle w:val="ListBullet"/>
        <w:spacing w:after="60"/>
        <w:ind w:left="432"/>
      </w:pPr>
      <w:r>
        <w:rPr>
          <w:b/>
          <w:sz w:val="22"/>
        </w:rPr>
        <w:t>Commercial Score ≥ 0,70 e TD Score entre 0,50 e 0,70. Produto de peso com dor moderada e crescendo.</w:t>
      </w:r>
      <w:r>
        <w:rPr>
          <w:sz w:val="22"/>
        </w:rPr>
        <w:t xml:space="preserve"> 🟡 Alerta em Produto Relevante:</w:t>
      </w:r>
    </w:p>
    <w:p>
      <w:pPr>
        <w:pStyle w:val="ListBullet"/>
        <w:spacing w:after="60"/>
        <w:ind w:left="432"/>
      </w:pPr>
      <w:r>
        <w:rPr>
          <w:b/>
          <w:sz w:val="22"/>
        </w:rPr>
        <w:t>TD Score ≥ 0,70 e Commercial Score &lt; 0,60. Alta dor, mas tração insuficiente para priorizar agora.</w:t>
      </w:r>
      <w:r>
        <w:rPr>
          <w:sz w:val="22"/>
        </w:rPr>
        <w:t xml:space="preserve"> 🟠 Monitorar:</w:t>
      </w:r>
    </w:p>
    <w:p>
      <w:pPr>
        <w:pStyle w:val="ListBullet"/>
        <w:spacing w:after="60"/>
        <w:ind w:left="432"/>
      </w:pPr>
      <w:r>
        <w:rPr>
          <w:b/>
          <w:sz w:val="22"/>
        </w:rPr>
        <w:t>TD Score &lt; 0,50 ou Commercial Score &lt; 0,40. Sem urgência no momento.</w:t>
      </w:r>
      <w:r>
        <w:rPr>
          <w:sz w:val="22"/>
        </w:rPr>
        <w:t xml:space="preserve"> ⚪ Não Priorizar Agora:</w:t>
      </w:r>
    </w:p>
    <w:p>
      <w:pPr>
        <w:pStyle w:val="ListBullet"/>
        <w:spacing w:after="60"/>
        <w:ind w:left="432"/>
      </w:pPr>
      <w:r>
        <w:rPr>
          <w:b/>
          <w:sz w:val="22"/>
        </w:rPr>
        <w:t>Menos de 30 vendas ou 5 retornos. Volume insuficiente para diagnóstico confiável.</w:t>
      </w:r>
      <w:r>
        <w:rPr>
          <w:sz w:val="22"/>
        </w:rPr>
        <w:t xml:space="preserve"> ⬜ Sem Evidência Suficiente: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4. Como usar na prática</w:t>
      </w:r>
    </w:p>
    <w:p>
      <w:pPr>
        <w:spacing w:after="80"/>
      </w:pPr>
      <w:r>
        <w:rPr>
          <w:sz w:val="22"/>
        </w:rPr>
        <w:t>Navegação recomendada pela planilha: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sz w:val="22"/>
        </w:rPr>
        <w:t>Visão macro: quantidade de produtos por farol, receita líquida, itens retornados, TD Rate médio e principais insights já destacados.</w:t>
      </w:r>
      <w:r>
        <w:rPr>
          <w:sz w:val="22"/>
        </w:rPr>
        <w:t xml:space="preserve"> Passo 1 — Resumo Executivo:</w:t>
      </w:r>
    </w:p>
    <w:p>
      <w:pPr>
        <w:pStyle w:val="ListBullet"/>
        <w:spacing w:after="60"/>
        <w:ind w:left="432"/>
      </w:pPr>
      <w:r>
        <w:rPr>
          <w:b/>
          <w:sz w:val="22"/>
        </w:rPr>
        <w:t>Ranking dos 12 produtos com prioridade de ação imediata, ordenados por Priority Score. Ponto de partida para definição de pautas e owners.</w:t>
      </w:r>
      <w:r>
        <w:rPr>
          <w:sz w:val="22"/>
        </w:rPr>
        <w:t xml:space="preserve"> Passo 2 — 🔴 Priorizar Melhoria:</w:t>
      </w:r>
    </w:p>
    <w:p>
      <w:pPr>
        <w:pStyle w:val="ListBullet"/>
        <w:spacing w:after="60"/>
        <w:ind w:left="432"/>
      </w:pPr>
      <w:r>
        <w:rPr>
          <w:b/>
          <w:sz w:val="22"/>
        </w:rPr>
        <w:t>Diagnóstico detalhado por produto: scores, sinal kill/keep, TD Rate vs. categoria, top 3 motivos de T&amp;D, tendência e diagnóstico em formato de tweet.</w:t>
      </w:r>
      <w:r>
        <w:rPr>
          <w:sz w:val="22"/>
        </w:rPr>
        <w:t xml:space="preserve"> Passo 3 — 📋 Relatório PF:</w:t>
      </w:r>
    </w:p>
    <w:p>
      <w:pPr>
        <w:pStyle w:val="ListBullet"/>
        <w:spacing w:after="60"/>
        <w:ind w:left="432"/>
      </w:pPr>
      <w:r>
        <w:rPr>
          <w:b/>
          <w:sz w:val="22"/>
        </w:rPr>
        <w:t>Contextualiza o TD Rate de cada produto dentro da sua categoria. Fundamental para não tratar todas as categorias da mesma forma.</w:t>
      </w:r>
      <w:r>
        <w:rPr>
          <w:sz w:val="22"/>
        </w:rPr>
        <w:t xml:space="preserve"> Passo 4 — 📂 Benchmark Categoria:</w:t>
      </w:r>
    </w:p>
    <w:p>
      <w:pPr>
        <w:pStyle w:val="ListBullet"/>
        <w:spacing w:after="60"/>
        <w:ind w:left="432"/>
      </w:pPr>
      <w:r>
        <w:rPr>
          <w:b/>
          <w:sz w:val="22"/>
        </w:rPr>
        <w:t>Identifica os drivers sistêmicos de T&amp;D: quais tags aparecem em mais produtos, com que frequência e em quais buckets de farol.</w:t>
      </w:r>
      <w:r>
        <w:rPr>
          <w:sz w:val="22"/>
        </w:rPr>
        <w:t xml:space="preserve"> Passo 5 — 🏷️ Top Problemas:</w:t>
      </w:r>
    </w:p>
    <w:p>
      <w:pPr>
        <w:pStyle w:val="ListBullet"/>
        <w:spacing w:after="60"/>
        <w:ind w:left="432"/>
      </w:pPr>
      <w:r>
        <w:rPr>
          <w:b/>
          <w:sz w:val="22"/>
        </w:rPr>
        <w:t>Visão consolidada de todos os produtos com evidência suficiente — útil para análises mais granulares e filtros por categoria, cluster ou gênero.</w:t>
      </w:r>
      <w:r>
        <w:rPr>
          <w:sz w:val="22"/>
        </w:rPr>
        <w:t xml:space="preserve"> Passo 6 — 🗂️ Farol Completo:</w:t>
      </w:r>
    </w:p>
    <w:p>
      <w:pPr>
        <w:pStyle w:val="ListBullet"/>
        <w:spacing w:after="60"/>
        <w:ind w:left="432"/>
      </w:pPr>
      <w:r>
        <w:rPr>
          <w:b/>
          <w:sz w:val="22"/>
        </w:rPr>
        <w:t>Referência metodológica completa: critérios de farol, fórmulas dos scores e definição de clusters estratégicos.</w:t>
      </w:r>
      <w:r>
        <w:rPr>
          <w:sz w:val="22"/>
        </w:rPr>
        <w:t xml:space="preserve"> Passo 7 — ℹ️ Legenda: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5. Principais achados</w:t>
      </w:r>
    </w:p>
    <w:p>
      <w:pPr>
        <w:pStyle w:val="Heading2"/>
        <w:spacing w:before="240" w:after="80"/>
      </w:pPr>
      <w:r>
        <w:rPr>
          <w:b/>
          <w:color w:val="2E4057"/>
          <w:sz w:val="24"/>
        </w:rPr>
        <w:t>5.1 Distribuição por farol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Farol</w:t>
            </w:r>
          </w:p>
        </w:tc>
        <w:tc>
          <w:tcPr>
            <w:tcW w:type="dxa" w:w="14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Produtos</w:t>
            </w:r>
          </w:p>
        </w:tc>
        <w:tc>
          <w:tcPr>
            <w:tcW w:type="dxa" w:w="14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Receita Líq.</w:t>
            </w:r>
          </w:p>
        </w:tc>
        <w:tc>
          <w:tcPr>
            <w:tcW w:type="dxa" w:w="14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Itens Retorn.</w:t>
            </w:r>
          </w:p>
        </w:tc>
        <w:tc>
          <w:tcPr>
            <w:tcW w:type="dxa" w:w="14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TD Rate Médio</w:t>
            </w:r>
          </w:p>
        </w:tc>
        <w:tc>
          <w:tcPr>
            <w:tcW w:type="dxa" w:w="14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 Receita</w:t>
            </w:r>
          </w:p>
        </w:tc>
      </w:tr>
      <w:tr>
        <w:tc>
          <w:tcPr>
            <w:tcW w:type="dxa" w:w="1464"/>
            <w:shd w:val="clear" w:color="auto" w:fill="FFF2F2"/>
          </w:tcPr>
          <w:p>
            <w:r>
              <w:rPr>
                <w:b/>
                <w:sz w:val="20"/>
              </w:rPr>
              <w:t>🔴 Priorizar Melhoria</w:t>
            </w:r>
          </w:p>
        </w:tc>
        <w:tc>
          <w:tcPr>
            <w:tcW w:type="dxa" w:w="1464"/>
            <w:shd w:val="clear" w:color="auto" w:fill="FFF2F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64"/>
            <w:shd w:val="clear" w:color="auto" w:fill="FFF2F2"/>
          </w:tcPr>
          <w:p>
            <w:r>
              <w:rPr>
                <w:sz w:val="20"/>
              </w:rPr>
              <w:t>R$ 65,1M</w:t>
            </w:r>
          </w:p>
        </w:tc>
        <w:tc>
          <w:tcPr>
            <w:tcW w:type="dxa" w:w="1464"/>
            <w:shd w:val="clear" w:color="auto" w:fill="FFF2F2"/>
          </w:tcPr>
          <w:p>
            <w:r>
              <w:rPr>
                <w:sz w:val="20"/>
              </w:rPr>
              <w:t>37.392</w:t>
            </w:r>
          </w:p>
        </w:tc>
        <w:tc>
          <w:tcPr>
            <w:tcW w:type="dxa" w:w="1464"/>
            <w:shd w:val="clear" w:color="auto" w:fill="FFF2F2"/>
          </w:tcPr>
          <w:p>
            <w:r>
              <w:rPr>
                <w:sz w:val="20"/>
              </w:rPr>
              <w:t>14,9%</w:t>
            </w:r>
          </w:p>
        </w:tc>
        <w:tc>
          <w:tcPr>
            <w:tcW w:type="dxa" w:w="1464"/>
            <w:shd w:val="clear" w:color="auto" w:fill="FFF2F2"/>
          </w:tcPr>
          <w:p>
            <w:r>
              <w:rPr>
                <w:sz w:val="20"/>
              </w:rPr>
              <w:t>18,6%</w:t>
            </w:r>
          </w:p>
        </w:tc>
      </w:tr>
      <w:tr>
        <w:tc>
          <w:tcPr>
            <w:tcW w:type="dxa" w:w="1464"/>
            <w:shd w:val="clear" w:color="auto" w:fill="FFFDE7"/>
          </w:tcPr>
          <w:p>
            <w:r>
              <w:rPr>
                <w:b/>
                <w:sz w:val="20"/>
              </w:rPr>
              <w:t>🟡 Alerta Produto Relevante</w:t>
            </w:r>
          </w:p>
        </w:tc>
        <w:tc>
          <w:tcPr>
            <w:tcW w:type="dxa" w:w="1464"/>
            <w:shd w:val="clear" w:color="auto" w:fill="FFFDE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64"/>
            <w:shd w:val="clear" w:color="auto" w:fill="FFFDE7"/>
          </w:tcPr>
          <w:p>
            <w:r>
              <w:rPr>
                <w:sz w:val="20"/>
              </w:rPr>
              <w:t>R$ 174,6M</w:t>
            </w:r>
          </w:p>
        </w:tc>
        <w:tc>
          <w:tcPr>
            <w:tcW w:type="dxa" w:w="1464"/>
            <w:shd w:val="clear" w:color="auto" w:fill="FFFDE7"/>
          </w:tcPr>
          <w:p>
            <w:r>
              <w:rPr>
                <w:sz w:val="20"/>
              </w:rPr>
              <w:t>80.230</w:t>
            </w:r>
          </w:p>
        </w:tc>
        <w:tc>
          <w:tcPr>
            <w:tcW w:type="dxa" w:w="1464"/>
            <w:shd w:val="clear" w:color="auto" w:fill="FFFDE7"/>
          </w:tcPr>
          <w:p>
            <w:r>
              <w:rPr>
                <w:sz w:val="20"/>
              </w:rPr>
              <w:t>7,7%</w:t>
            </w:r>
          </w:p>
        </w:tc>
        <w:tc>
          <w:tcPr>
            <w:tcW w:type="dxa" w:w="1464"/>
            <w:shd w:val="clear" w:color="auto" w:fill="FFFDE7"/>
          </w:tcPr>
          <w:p>
            <w:r>
              <w:rPr>
                <w:sz w:val="20"/>
              </w:rPr>
              <w:t>49,8%</w:t>
            </w:r>
          </w:p>
        </w:tc>
      </w:tr>
      <w:tr>
        <w:tc>
          <w:tcPr>
            <w:tcW w:type="dxa" w:w="1464"/>
            <w:shd w:val="clear" w:color="auto" w:fill="FFF3E0"/>
          </w:tcPr>
          <w:p>
            <w:r>
              <w:rPr>
                <w:b/>
                <w:sz w:val="20"/>
              </w:rPr>
              <w:t>🟠 Monitorar</w:t>
            </w:r>
          </w:p>
        </w:tc>
        <w:tc>
          <w:tcPr>
            <w:tcW w:type="dxa" w:w="1464"/>
            <w:shd w:val="clear" w:color="auto" w:fill="FFF3E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464"/>
            <w:shd w:val="clear" w:color="auto" w:fill="FFF3E0"/>
          </w:tcPr>
          <w:p>
            <w:r>
              <w:rPr>
                <w:sz w:val="20"/>
              </w:rPr>
              <w:t>R$ 19,7M</w:t>
            </w:r>
          </w:p>
        </w:tc>
        <w:tc>
          <w:tcPr>
            <w:tcW w:type="dxa" w:w="1464"/>
            <w:shd w:val="clear" w:color="auto" w:fill="FFF3E0"/>
          </w:tcPr>
          <w:p>
            <w:r>
              <w:rPr>
                <w:sz w:val="20"/>
              </w:rPr>
              <w:t>14.298</w:t>
            </w:r>
          </w:p>
        </w:tc>
        <w:tc>
          <w:tcPr>
            <w:tcW w:type="dxa" w:w="1464"/>
            <w:shd w:val="clear" w:color="auto" w:fill="FFF3E0"/>
          </w:tcPr>
          <w:p>
            <w:r>
              <w:rPr>
                <w:sz w:val="20"/>
              </w:rPr>
              <w:t>14,4%</w:t>
            </w:r>
          </w:p>
        </w:tc>
        <w:tc>
          <w:tcPr>
            <w:tcW w:type="dxa" w:w="1464"/>
            <w:shd w:val="clear" w:color="auto" w:fill="FFF3E0"/>
          </w:tcPr>
          <w:p>
            <w:r>
              <w:rPr>
                <w:sz w:val="20"/>
              </w:rPr>
              <w:t>5,6%</w:t>
            </w:r>
          </w:p>
        </w:tc>
      </w:tr>
      <w:tr>
        <w:tc>
          <w:tcPr>
            <w:tcW w:type="dxa" w:w="1464"/>
            <w:shd w:val="clear" w:color="auto" w:fill="F5F5F5"/>
          </w:tcPr>
          <w:p>
            <w:r>
              <w:rPr>
                <w:b/>
                <w:sz w:val="20"/>
              </w:rPr>
              <w:t>⚪ Não Priorizar Agora</w:t>
            </w:r>
          </w:p>
        </w:tc>
        <w:tc>
          <w:tcPr>
            <w:tcW w:type="dxa" w:w="1464"/>
            <w:shd w:val="clear" w:color="auto" w:fill="F5F5F5"/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464"/>
            <w:shd w:val="clear" w:color="auto" w:fill="F5F5F5"/>
          </w:tcPr>
          <w:p>
            <w:r>
              <w:rPr>
                <w:sz w:val="20"/>
              </w:rPr>
              <w:t>R$ 91,3M</w:t>
            </w:r>
          </w:p>
        </w:tc>
        <w:tc>
          <w:tcPr>
            <w:tcW w:type="dxa" w:w="1464"/>
            <w:shd w:val="clear" w:color="auto" w:fill="F5F5F5"/>
          </w:tcPr>
          <w:p>
            <w:r>
              <w:rPr>
                <w:sz w:val="20"/>
              </w:rPr>
              <w:t>39.268</w:t>
            </w:r>
          </w:p>
        </w:tc>
        <w:tc>
          <w:tcPr>
            <w:tcW w:type="dxa" w:w="1464"/>
            <w:shd w:val="clear" w:color="auto" w:fill="F5F5F5"/>
          </w:tcPr>
          <w:p>
            <w:r>
              <w:rPr>
                <w:sz w:val="20"/>
              </w:rPr>
              <w:t>5,9%</w:t>
            </w:r>
          </w:p>
        </w:tc>
        <w:tc>
          <w:tcPr>
            <w:tcW w:type="dxa" w:w="1464"/>
            <w:shd w:val="clear" w:color="auto" w:fill="F5F5F5"/>
          </w:tcPr>
          <w:p>
            <w:r>
              <w:rPr>
                <w:sz w:val="20"/>
              </w:rPr>
              <w:t>26,0%</w:t>
            </w:r>
          </w:p>
        </w:tc>
      </w:tr>
      <w:tr>
        <w:tc>
          <w:tcPr>
            <w:tcW w:type="dxa" w:w="1464"/>
            <w:shd w:val="clear" w:color="auto" w:fill="FAFAFA"/>
          </w:tcPr>
          <w:p>
            <w:r>
              <w:rPr>
                <w:b/>
                <w:sz w:val="20"/>
              </w:rPr>
              <w:t>⬜ Sem Evidência</w:t>
            </w:r>
          </w:p>
        </w:tc>
        <w:tc>
          <w:tcPr>
            <w:tcW w:type="dxa" w:w="1464"/>
            <w:shd w:val="clear" w:color="auto" w:fill="FAFA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64"/>
            <w:shd w:val="clear" w:color="auto" w:fill="FAFAFA"/>
          </w:tcPr>
          <w:p>
            <w:r>
              <w:rPr>
                <w:sz w:val="20"/>
              </w:rPr>
              <w:t>R$ 0,0M</w:t>
            </w:r>
          </w:p>
        </w:tc>
        <w:tc>
          <w:tcPr>
            <w:tcW w:type="dxa" w:w="1464"/>
            <w:shd w:val="clear" w:color="auto" w:fill="FAFA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64"/>
            <w:shd w:val="clear" w:color="auto" w:fill="FAFA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64"/>
            <w:shd w:val="clear" w:color="auto" w:fill="FAFAFA"/>
          </w:tcPr>
          <w:p>
            <w:r>
              <w:rPr>
                <w:sz w:val="20"/>
              </w:rPr>
              <w:t>0,0%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Leitura crítica da tabela: o bucket 🟡 Alerta concentra R$ 174,6M de receita — quase 50% do total analisado — com TD Rate médio de 7,7%. Embora moderado, esse grupo merece atenção preventiva: qualquer deterioração de T&amp;D aqui tem impacto desproporcional no negócio.</w:t>
      </w:r>
    </w:p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2E4057"/>
          <w:sz w:val="24"/>
        </w:rPr>
        <w:t>5.2 Ranking dos 12 produtos para ação imediata</w:t>
      </w:r>
    </w:p>
    <w:p>
      <w:pPr>
        <w:spacing w:after="80"/>
      </w:pPr>
      <w:r>
        <w:rPr>
          <w:sz w:val="22"/>
        </w:rPr>
        <w:t>Os produtos a seguir combinam dor relevante de T&amp;D com alta relevância comercial e devem entrar em plano de ação prioritário: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TD Rate</w:t>
            </w:r>
          </w:p>
        </w:tc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TD Categ.</w:t>
            </w:r>
          </w:p>
        </w:tc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Δ vs Cat.</w:t>
            </w:r>
          </w:p>
        </w:tc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Top Problemas</w:t>
            </w:r>
          </w:p>
        </w:tc>
        <w:tc>
          <w:tcPr>
            <w:tcW w:type="dxa" w:w="109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Tend.</w:t>
            </w:r>
          </w:p>
        </w:tc>
      </w:tr>
      <w:tr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Calça FutureForm Feminino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Hero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16,5%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12,3%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+4,2 p.p.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Caimento ruim (14%), modelagem ruim (12%), tamanho pequeno (5%)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Estável</w:t>
            </w:r>
          </w:p>
        </w:tc>
      </w:tr>
      <w:tr>
        <w:tc>
          <w:tcPr>
            <w:tcW w:type="dxa" w:w="109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Tube Dress Feminino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17,2%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16,3%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+0,8 p.p.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Tamanho pequeno (16%), caimento ruim (12%), modelagem ruim (7%)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↓ Caiu</w:t>
            </w:r>
          </w:p>
        </w:tc>
      </w:tr>
      <w:tr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Skin Cropped Long Sleeve Feminino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Long Tail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15,9%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10,4%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+5,5 p.p.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Tamanho pequeno (14%), modelagem ruim (4%), caimento ruim (4%)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↑ Aumentou</w:t>
            </w:r>
          </w:p>
        </w:tc>
      </w:tr>
      <w:tr>
        <w:tc>
          <w:tcPr>
            <w:tcW w:type="dxa" w:w="109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Saia Mini Kyoto Feminino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20,5%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11,9%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+8,6 p.p.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Caimento ruim (13%), modelagem ruim (8%), tamanho grande (6%)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↑ Aumentou</w:t>
            </w:r>
          </w:p>
        </w:tc>
      </w:tr>
      <w:tr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Calça Wide Leg Feminino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13,0%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12,3%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+0,7 p.p.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Caimento ruim (8%), modelagem ruim (6%), tamanho pequeno (4%)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↑ Aumentou</w:t>
            </w:r>
          </w:p>
        </w:tc>
      </w:tr>
      <w:tr>
        <w:tc>
          <w:tcPr>
            <w:tcW w:type="dxa" w:w="109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Core T-shirt Masculino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Hero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7,8%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5,5%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+2,3 p.p.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Tamanho pequeno (6%), tecido grosso (3%), caimento ruim (3%)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Estável</w:t>
            </w:r>
          </w:p>
        </w:tc>
      </w:tr>
      <w:tr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Camisa FutureForm Feminino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13,9%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14,2%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-0,3 p.p.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Tamanho grande (11%), cor diferente site (6%), caimento ruim (3%)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↑ Aumentou</w:t>
            </w:r>
          </w:p>
        </w:tc>
      </w:tr>
      <w:tr>
        <w:tc>
          <w:tcPr>
            <w:tcW w:type="dxa" w:w="109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Shorts Kyoto Feminino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18,4%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18,4%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Caimento ruim (11%), modelagem ruim (8%), tamanho grande (7%)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Estável</w:t>
            </w:r>
          </w:p>
        </w:tc>
      </w:tr>
      <w:tr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Camisa FutureForm Masculino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15,2%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14,2%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+1,0 p.p.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Tamanho grande (13%), caimento ruim (4%), modelagem ruim (3%)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↑ Aumentou</w:t>
            </w:r>
          </w:p>
        </w:tc>
      </w:tr>
      <w:tr>
        <w:tc>
          <w:tcPr>
            <w:tcW w:type="dxa" w:w="109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Bermuda Kyoto Feminino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17,0%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13,3%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+3,7 p.p.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Tamanho grande (10%), caimento ruim (10%), modelagem ruim (7%)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Estável</w:t>
            </w:r>
          </w:p>
        </w:tc>
      </w:tr>
      <w:tr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Tech T-shirt Heavy Slim Masculino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10,6%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5,5%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+5,1 p.p.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Tamanho pequeno (6%), caimento ruim (4%), modelagem ruim (3%)</w:t>
            </w:r>
          </w:p>
        </w:tc>
        <w:tc>
          <w:tcPr>
            <w:tcW w:type="dxa" w:w="1098"/>
            <w:shd w:val="clear" w:color="auto" w:fill="FFF2F2"/>
          </w:tcPr>
          <w:p>
            <w:r>
              <w:rPr>
                <w:sz w:val="18"/>
              </w:rPr>
              <w:t>↓ Caiu</w:t>
            </w:r>
          </w:p>
        </w:tc>
      </w:tr>
      <w:tr>
        <w:tc>
          <w:tcPr>
            <w:tcW w:type="dxa" w:w="109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Saia Midi Kyoto Feminino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13,3%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11,9%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+1,4 p.p.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Tamanho pequeno (9%), caimento ruim (6%), modelagem ruim (4%)</w:t>
            </w:r>
          </w:p>
        </w:tc>
        <w:tc>
          <w:tcPr>
            <w:tcW w:type="dxa" w:w="1098"/>
          </w:tcPr>
          <w:p>
            <w:r>
              <w:rPr>
                <w:sz w:val="18"/>
              </w:rPr>
              <w:t>Estável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b/>
          <w:sz w:val="22"/>
        </w:rPr>
        <w:t>4 dos 12 produtos prioritários apresentam tendência de aumento nas reversas nos últimos 3 meses. Isso eleva a urgência: o problema está ativo e escalando.</w:t>
      </w:r>
      <w:r>
        <w:rPr>
          <w:sz w:val="22"/>
        </w:rPr>
        <w:t xml:space="preserve"> Observação sobre tendência:</w:t>
      </w:r>
    </w:p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2E4057"/>
          <w:sz w:val="24"/>
        </w:rPr>
        <w:t>5.3 Drivers sistêmicos de T&amp;D</w:t>
      </w:r>
    </w:p>
    <w:p>
      <w:pPr>
        <w:spacing w:after="80"/>
      </w:pPr>
      <w:r>
        <w:rPr>
          <w:sz w:val="22"/>
        </w:rPr>
        <w:t>A análise de tags revela que os problemas de T&amp;D são amplamente estruturais — não pontuais. Os principais ofensores: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1757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Produtos Afetados</w:t>
            </w:r>
          </w:p>
        </w:tc>
        <w:tc>
          <w:tcPr>
            <w:tcW w:type="dxa" w:w="1757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Produtos 🔴</w:t>
            </w:r>
          </w:p>
        </w:tc>
        <w:tc>
          <w:tcPr>
            <w:tcW w:type="dxa" w:w="1757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% Médio no Produto</w:t>
            </w:r>
          </w:p>
        </w:tc>
        <w:tc>
          <w:tcPr>
            <w:tcW w:type="dxa" w:w="1757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Categoria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caimento_ruim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8,8%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✂️ Modelagem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modelagem_ruim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7,7%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✂️ Modelagem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tamanho_pequeno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9,4%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📏 Grade/Tamanho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tamanho_grande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8,1%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📏 Grade/Tamanho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tecido_qualidade_ruim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5,2%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🧵 Matéria-Prima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conforto_negativo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9,5%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😣 Conforto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defeito_costura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5,4%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🔧 Qualidade/Defeito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cor_diferente_site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4,9%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🔍 Outros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tecido_grosso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5,8%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sz w:val="20"/>
              </w:rPr>
              <w:t>🧵 Matéria-Prima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b/>
          <w:sz w:val="22"/>
        </w:rPr>
        <w:t>Caimento e modelagem são responsáveis pelos dois maiores volumes de produtos afetados e estão presentes em 10 dos 12 produtos do bucket 🔴. Isso sugere uma raiz comum de processo — possivelmente critérios de aprovação de fit ou inconsistência de grade entre modelagens.</w:t>
      </w:r>
      <w:r>
        <w:rPr>
          <w:sz w:val="22"/>
        </w:rPr>
        <w:t xml:space="preserve"> Destaque:</w:t>
      </w:r>
    </w:p>
    <w:p>
      <w:pPr>
        <w:spacing w:after="40"/>
      </w:pPr>
    </w:p>
    <w:p>
      <w:pPr>
        <w:spacing w:after="80"/>
      </w:pPr>
      <w:r>
        <w:rPr>
          <w:sz w:val="22"/>
        </w:rPr>
        <w:t>90%+ das reversas têm origem física no produto — não em logística. Isso confirma que o esforço de melhoria deve concentrar-se em Produto, Estilo, Modelagem e Qualidade, não em operações.</w:t>
      </w:r>
    </w:p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2E4057"/>
          <w:sz w:val="24"/>
        </w:rPr>
        <w:t>5.4 Produtos com sinal de descontinuação (KILL)</w:t>
      </w:r>
    </w:p>
    <w:p>
      <w:pPr>
        <w:spacing w:after="80"/>
      </w:pPr>
      <w:r>
        <w:rPr>
          <w:sz w:val="22"/>
        </w:rPr>
        <w:t>Três produtos identificados com sinal KILL apresentam T&amp;D elevado e figuram no bucket prioritário, reforçando a recomendação de descontinuação acelerada: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sz w:val="22"/>
        </w:rPr>
        <w:t>Calça Studio InLounge Masculino</w:t>
      </w:r>
    </w:p>
    <w:p>
      <w:pPr>
        <w:pStyle w:val="ListBullet"/>
        <w:spacing w:after="60"/>
        <w:ind w:left="432"/>
      </w:pPr>
      <w:r>
        <w:rPr>
          <w:sz w:val="22"/>
        </w:rPr>
        <w:t>Blusa Manga Longa Comfy</w:t>
      </w:r>
    </w:p>
    <w:p>
      <w:pPr>
        <w:pStyle w:val="ListBullet"/>
        <w:spacing w:after="60"/>
        <w:ind w:left="432"/>
      </w:pPr>
      <w:r>
        <w:rPr>
          <w:sz w:val="22"/>
        </w:rPr>
        <w:t>Vestido Sharp InLounge</w:t>
      </w:r>
    </w:p>
    <w:p>
      <w:pPr>
        <w:spacing w:after="40"/>
      </w:pPr>
    </w:p>
    <w:p>
      <w:pPr>
        <w:spacing w:after="80"/>
      </w:pPr>
      <w:r>
        <w:rPr>
          <w:sz w:val="22"/>
        </w:rPr>
        <w:t>Manter esses produtos em catálogo sem ação gera custo de T&amp;D recorrente, pressão operacional e degradação de NPS sem contrapartida comercial.</w:t>
      </w:r>
    </w:p>
    <w:p>
      <w:pPr>
        <w:spacing w:after="40"/>
      </w:pPr>
    </w:p>
    <w:p>
      <w:pPr>
        <w:pStyle w:val="Heading2"/>
        <w:spacing w:before="240" w:after="80"/>
      </w:pPr>
      <w:r>
        <w:rPr>
          <w:b/>
          <w:color w:val="2E4057"/>
          <w:sz w:val="24"/>
        </w:rPr>
        <w:t>5.5 Tendência: 49 produtos com reversas em aceleração</w:t>
      </w:r>
    </w:p>
    <w:p>
      <w:pPr>
        <w:spacing w:after="80"/>
      </w:pPr>
      <w:r>
        <w:rPr>
          <w:sz w:val="22"/>
        </w:rPr>
        <w:t>49 produtos do universo analisado apresentam tendência crescente nos últimos 3 meses. Ação preventiva agora — antes que entrem no bucket 🔴 — é mais barata e rápida do que corrigir após consolidação do problema.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6. Implicações de negócio</w:t>
      </w:r>
    </w:p>
    <w:p>
      <w:pPr>
        <w:pStyle w:val="ListBullet"/>
        <w:spacing w:after="60"/>
        <w:ind w:left="432"/>
      </w:pPr>
      <w:r>
        <w:rPr>
          <w:sz w:val="22"/>
        </w:rPr>
        <w:t>Os 12 produtos do bucket 🔴 respondem por R$ 65,1M de receita líquida e 21,8% do volume total de reversas. Reduzir o TD Rate desse grupo em 3 pontos percentuais representa uma economia estimada de ~1.120 reversas mensais — com impacto direto em custo operacional, NPS e taxa de recompra.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sz w:val="22"/>
        </w:rPr>
        <w:t>O bucket 🟡 (Alerta), com R$ 174,6M de receita, é o maior risco latente. Nenhum produto desse grupo deve ser tratado como 'resolvido' — o acompanhamento preventivo é mandatório.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sz w:val="22"/>
        </w:rPr>
        <w:t>A natureza dos problemas exige um esforço multidisciplinar. Caimento e modelagem são problemas de processo de desenvolvimento de produto. Grade é problema de tabela de medidas e comunicação. Tecido é problema de especificação e aprovação de matéria-prima. Cor diferente do site é problema de conteúdo e fotografia.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sz w:val="22"/>
        </w:rPr>
        <w:t>A análise destrava decisões que hoje ficam travadas por falta de priorização explícita: qual produto entra em revisão de modelagem este ciclo? Qual vai para descontinuação? Qual exige apenas melhoria de comunicação no site?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sz w:val="22"/>
        </w:rPr>
        <w:t>Produtos Hero com T&amp;D elevado (Calça FutureForm Feminino, Core T-shirt Masculino) merecem atenção especial: o impacto de uma melhoria aqui é maior pela amplitude de receita e volume envolvidos.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7. Modelo sugerido de governança</w:t>
      </w:r>
    </w:p>
    <w:p>
      <w:pPr>
        <w:spacing w:after="80"/>
      </w:pPr>
      <w:r>
        <w:rPr>
          <w:sz w:val="22"/>
        </w:rPr>
        <w:t>Para que o farol gere resultado concreto, ele precisa ser operacionalizado em rituais e donos claros. Proposta: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sz w:val="22"/>
        </w:rPr>
        <w:t>Revisão quinzenal do farol nos primeiros 3 meses (fase de ativação). Mensal após estabilização do processo.</w:t>
      </w:r>
      <w:r>
        <w:rPr>
          <w:sz w:val="22"/>
        </w:rPr>
        <w:t xml:space="preserve"> Frequência:</w:t>
      </w:r>
    </w:p>
    <w:p>
      <w:pPr>
        <w:pStyle w:val="ListBullet"/>
        <w:spacing w:after="60"/>
        <w:ind w:left="432"/>
      </w:pPr>
      <w:r>
        <w:rPr>
          <w:b/>
          <w:sz w:val="22"/>
        </w:rPr>
        <w:t>Produto, Qualidade, Estilo, Modelagem, Buying e Operações. A Giulia (EP) como facilitadora e guardiã do processo.</w:t>
      </w:r>
      <w:r>
        <w:rPr>
          <w:sz w:val="22"/>
        </w:rPr>
        <w:t xml:space="preserve"> Participantes:</w:t>
      </w:r>
    </w:p>
    <w:p>
      <w:pPr>
        <w:pStyle w:val="ListBullet"/>
        <w:spacing w:after="60"/>
        <w:ind w:left="432"/>
      </w:pPr>
      <w:r>
        <w:rPr>
          <w:b/>
          <w:sz w:val="22"/>
        </w:rPr>
        <w:t>Cada produto do bucket 🔴 deve ter um owner nomeado responsável pelo diagnóstico e plano de ação — com prazo e métrica de sucesso definidos.</w:t>
      </w:r>
      <w:r>
        <w:rPr>
          <w:sz w:val="22"/>
        </w:rPr>
        <w:t xml:space="preserve"> Owner por produto:</w:t>
      </w:r>
    </w:p>
    <w:p>
      <w:pPr>
        <w:pStyle w:val="ListBullet"/>
        <w:spacing w:after="60"/>
        <w:ind w:left="432"/>
      </w:pPr>
      <w:r>
        <w:rPr>
          <w:b/>
          <w:sz w:val="22"/>
        </w:rPr>
        <w:t>Modelagem (revisão de fit), Grade (tabela de medidas), Tecido/MP (especificação), Qualidade/Defeito (processo de controle), Comunicação (site/fotografia), Sortimento (restrição de grade disponível) ou Descontinuação.</w:t>
      </w:r>
      <w:r>
        <w:rPr>
          <w:sz w:val="22"/>
        </w:rPr>
        <w:t xml:space="preserve"> Classificação de ação por tipo:</w:t>
      </w:r>
    </w:p>
    <w:p>
      <w:pPr>
        <w:pStyle w:val="ListBullet"/>
        <w:spacing w:after="60"/>
        <w:ind w:left="432"/>
      </w:pPr>
      <w:r>
        <w:rPr>
          <w:b/>
          <w:sz w:val="22"/>
        </w:rPr>
        <w:t>Redução do TD Rate do produto (vs. linha de base), volume de reversas, reclamações pós-compra, NPS e impacto em receita líquida.</w:t>
      </w:r>
      <w:r>
        <w:rPr>
          <w:sz w:val="22"/>
        </w:rPr>
        <w:t xml:space="preserve"> Métrica de sucesso:</w:t>
      </w:r>
    </w:p>
    <w:p>
      <w:pPr>
        <w:pStyle w:val="ListBullet"/>
        <w:spacing w:after="60"/>
        <w:ind w:left="432"/>
      </w:pPr>
      <w:r>
        <w:rPr>
          <w:b/>
          <w:sz w:val="22"/>
        </w:rPr>
        <w:t>A cada ciclo de ação concluído, o farol deve ser re-rodado para capturar evolução e reclassificar produtos. Produtos que saem do 🔴 devem ser documentados como caso de sucesso.</w:t>
      </w:r>
      <w:r>
        <w:rPr>
          <w:sz w:val="22"/>
        </w:rPr>
        <w:t xml:space="preserve"> Revisão do farol: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8. Limitações e cuidados</w:t>
      </w:r>
    </w:p>
    <w:p>
      <w:pPr>
        <w:pStyle w:val="ListBullet"/>
        <w:spacing w:after="60"/>
        <w:ind w:left="432"/>
      </w:pPr>
      <w:r>
        <w:rPr>
          <w:sz w:val="22"/>
        </w:rPr>
        <w:t>O farol prioriza investigação — não substitui diagnóstico qualitativo. Um produto no bucket 🔴 deve entrar em processo de análise aprofundada (fitting, pesquisa com cliente, análise de produto devolvido) antes de qualquer decisão de melhoria.</w:t>
      </w:r>
    </w:p>
    <w:p>
      <w:pPr>
        <w:pStyle w:val="ListBullet"/>
        <w:spacing w:after="60"/>
        <w:ind w:left="432"/>
      </w:pPr>
      <w:r>
        <w:rPr>
          <w:sz w:val="22"/>
        </w:rPr>
        <w:t>Correlação não é causalidade. TD Rate elevado indica dor; não necessariamente aponta para a causa-raiz correta sem análise complementar.</w:t>
      </w:r>
    </w:p>
    <w:p>
      <w:pPr>
        <w:pStyle w:val="ListBullet"/>
        <w:spacing w:after="60"/>
        <w:ind w:left="432"/>
      </w:pPr>
      <w:r>
        <w:rPr>
          <w:sz w:val="22"/>
        </w:rPr>
        <w:t>Produtos com baixo volume de dados ficam no bucket ⬜ e não devem ser priorizados com base nesta análise. Volume insuficiente gera estatística não confiável.</w:t>
      </w:r>
    </w:p>
    <w:p>
      <w:pPr>
        <w:pStyle w:val="ListBullet"/>
        <w:spacing w:after="60"/>
        <w:ind w:left="432"/>
      </w:pPr>
      <w:r>
        <w:rPr>
          <w:sz w:val="22"/>
        </w:rPr>
        <w:t>A qualidade das tags de motivo é variável. Tags dependem do registro correto no momento da solicitação de T&amp;D. Motivos subregistrados ou genéricos reduzem a precisão do diagnóstico por causa-raiz.</w:t>
      </w:r>
    </w:p>
    <w:p>
      <w:pPr>
        <w:pStyle w:val="ListBullet"/>
        <w:spacing w:after="60"/>
        <w:ind w:left="432"/>
      </w:pPr>
      <w:r>
        <w:rPr>
          <w:sz w:val="22"/>
        </w:rPr>
        <w:t>Algumas categorias têm comportamento estruturalmente diferente. Vestidos, shorts e saias têm TD Rate médio mais alto que camisetas e underwear — o benchmark por categoria corrige parte desse viés, mas a interpretação deve considerar essa diferença de natureza.</w:t>
      </w:r>
    </w:p>
    <w:p>
      <w:pPr>
        <w:pStyle w:val="ListBullet"/>
        <w:spacing w:after="60"/>
        <w:ind w:left="432"/>
      </w:pPr>
      <w:r>
        <w:rPr>
          <w:sz w:val="22"/>
        </w:rPr>
        <w:t>O Commercial Score pode estar subestimado para produtos em lançamento. Produtos novos têm histórico curto de receita, o que pode reduzir artificialmente seu score comercial.</w:t>
      </w:r>
    </w:p>
    <w:p>
      <w:pPr>
        <w:pStyle w:val="ListBullet"/>
        <w:spacing w:after="60"/>
        <w:ind w:left="432"/>
      </w:pPr>
      <w:r>
        <w:rPr>
          <w:sz w:val="22"/>
        </w:rPr>
        <w:t>A decisão final deve combinar dados, leitura de produto, contexto comercial e viabilidade operacional. O farol é um mecanismo de priorização — não uma decisão automática.</w:t>
      </w:r>
    </w:p>
    <w:p>
      <w:pPr>
        <w:pStyle w:val="Heading1"/>
        <w:spacing w:before="360" w:after="120"/>
      </w:pPr>
      <w:r>
        <w:rPr>
          <w:b/>
          <w:color w:val="1F3864"/>
          <w:sz w:val="28"/>
        </w:rPr>
        <w:t>9. Recomendação executiva</w:t>
      </w:r>
    </w:p>
    <w:p>
      <w:pPr>
        <w:spacing w:after="80"/>
      </w:pPr>
      <w:r>
        <w:rPr>
          <w:sz w:val="22"/>
        </w:rPr>
        <w:t>Com base na análise, três ações são prioritárias para as próximas 4 semanas: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sz w:val="22"/>
        </w:rPr>
        <w:t>Nomear um owner por produto, definir diagnóstico de causa-raiz e plano de ação com prazo. Os 4 produtos com tendência crescente (Skin Cropped Long Sleeve, Saia Mini Kyoto, Calça Wide Leg e Camisa FutureForm Masculino) devem ser tratados com urgência adicional.</w:t>
      </w:r>
      <w:r>
        <w:rPr>
          <w:sz w:val="22"/>
        </w:rPr>
        <w:t xml:space="preserve"> Ação 1 — Ativar investigação nos 12 produtos do bucket 🔴.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sz w:val="22"/>
        </w:rPr>
        <w:t>Calça Studio InLounge Masculino, Blusa Manga Longa Comfy e Vestido Sharp InLounge não devem aguardar o ciclo natural de saída do catálogo — cada semana adicional gera custo de reversa sem contrapartida comercial.</w:t>
      </w:r>
      <w:r>
        <w:rPr>
          <w:sz w:val="22"/>
        </w:rPr>
        <w:t xml:space="preserve"> Ação 2 — Acelerar descontinuação dos produtos KILL com alta T&amp;D.</w:t>
      </w:r>
    </w:p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sz w:val="22"/>
        </w:rPr>
        <w:t>O farol só gera valor se vier acompanhado de ritual de decisão. Sem reunião de revisão, ownership e métrica de sucesso, os dados ficam sem ação.</w:t>
      </w:r>
      <w:r>
        <w:rPr>
          <w:sz w:val="22"/>
        </w:rPr>
        <w:t xml:space="preserve"> Ação 3 — Estabelecer governança quinzenal com os times relevantes.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Redução do TD Rate médio do bucket 🔴 de 14,9% para abaixo de 12% em dois ciclos de melhoria (estimado: 4–6 meses). O acompanhamento deve ser feito por produto e não apenas pela média do grupo.</w:t>
      </w:r>
      <w:r>
        <w:rPr>
          <w:sz w:val="22"/>
        </w:rPr>
        <w:t xml:space="preserve"> Métrica de validação do processo: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