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Calibri" w:hAnsi="Calibri"/>
          <w:b/>
          <w:color w:val="02405E"/>
          <w:sz w:val="72"/>
        </w:rPr>
        <w:t>CommBridge</w:t>
      </w:r>
    </w:p>
    <w:p>
      <w:pPr>
        <w:spacing w:after="80"/>
      </w:pPr>
      <w:r>
        <w:rPr>
          <w:rFonts w:ascii="Calibri" w:hAnsi="Calibri"/>
          <w:b/>
          <w:i w:val="0"/>
          <w:color w:val="028090"/>
          <w:sz w:val="36"/>
        </w:rPr>
        <w:t>Online Communication Practice Platform</w:t>
      </w:r>
    </w:p>
    <w:p>
      <w:pPr>
        <w:spacing w:after="600"/>
      </w:pPr>
      <w:r>
        <w:rPr>
          <w:rFonts w:ascii="Calibri" w:hAnsi="Calibri"/>
          <w:b w:val="0"/>
          <w:i w:val="0"/>
          <w:color w:val="64748B"/>
          <w:sz w:val="28"/>
        </w:rPr>
        <w:t>Project Proposal</w:t>
      </w:r>
    </w:p>
    <w:tbl>
      <w:tblPr>
        <w:tblW w:type="auto" w:w="0"/>
        <w:jc w:val="left"/>
        <w:tblLook w:firstColumn="1" w:firstRow="1" w:lastColumn="0" w:lastRow="0" w:noHBand="0" w:noVBand="1" w:val="04A0"/>
      </w:tblPr>
      <w:tblGrid>
        <w:gridCol w:w="8784"/>
      </w:tblGrid>
      <w:tr>
        <w:tc>
          <w:tcPr>
            <w:tcW w:type="dxa" w:w="8784"/>
            <w:shd w:val="clear" w:color="auto" w:fill="028090"/>
            <w:shd w:val="clear" w:color="auto" w:fill="028090"/>
          </w:tcPr>
          <w:p>
            <w:r>
              <w:rPr>
                <w:sz w:val="8"/>
              </w:rPr>
              <w:t xml:space="preserve">  </w:t>
            </w:r>
          </w:p>
        </w:tc>
      </w:tr>
    </w:tbl>
    <w:p/>
    <w:tbl>
      <w:tblPr>
        <w:tblW w:type="auto" w:w="0"/>
        <w:jc w:val="left"/>
        <w:tblLook w:firstColumn="1" w:firstRow="1" w:lastColumn="0" w:lastRow="0" w:noHBand="0" w:noVBand="1" w:val="04A0"/>
      </w:tblPr>
      <w:tblGrid>
        <w:gridCol w:w="4392"/>
        <w:gridCol w:w="4392"/>
      </w:tblGrid>
      <w:tr>
        <w:tc>
          <w:tcPr>
            <w:tcW w:type="dxa" w:w="2592"/>
          </w:tcPr>
          <w:p>
            <w:r>
              <w:rPr>
                <w:rFonts w:ascii="Calibri" w:hAnsi="Calibri"/>
                <w:b/>
                <w:color w:val="02405E"/>
                <w:sz w:val="22"/>
              </w:rPr>
              <w:t>Prepared for:</w:t>
            </w:r>
          </w:p>
        </w:tc>
        <w:tc>
          <w:tcPr>
            <w:tcW w:type="dxa" w:w="5760"/>
          </w:tcPr>
          <w:p>
            <w:r>
              <w:rPr>
                <w:rFonts w:ascii="Calibri" w:hAnsi="Calibri"/>
                <w:sz w:val="22"/>
              </w:rPr>
              <w:t>SPD Specialised Assistive Technology Centre (SATC)</w:t>
            </w:r>
          </w:p>
        </w:tc>
      </w:tr>
      <w:tr>
        <w:tc>
          <w:tcPr>
            <w:tcW w:type="dxa" w:w="2592"/>
          </w:tcPr>
          <w:p>
            <w:r>
              <w:rPr>
                <w:rFonts w:ascii="Calibri" w:hAnsi="Calibri"/>
                <w:b/>
                <w:color w:val="02405E"/>
                <w:sz w:val="22"/>
              </w:rPr>
              <w:t>Project Type:</w:t>
            </w:r>
          </w:p>
        </w:tc>
        <w:tc>
          <w:tcPr>
            <w:tcW w:type="dxa" w:w="5760"/>
          </w:tcPr>
          <w:p>
            <w:r>
              <w:rPr>
                <w:rFonts w:ascii="Calibri" w:hAnsi="Calibri"/>
                <w:sz w:val="22"/>
              </w:rPr>
              <w:t>NUS School Project — Product Design Sprint</w:t>
            </w:r>
          </w:p>
        </w:tc>
      </w:tr>
      <w:tr>
        <w:tc>
          <w:tcPr>
            <w:tcW w:type="dxa" w:w="2592"/>
          </w:tcPr>
          <w:p>
            <w:r>
              <w:rPr>
                <w:rFonts w:ascii="Calibri" w:hAnsi="Calibri"/>
                <w:b/>
                <w:color w:val="02405E"/>
                <w:sz w:val="22"/>
              </w:rPr>
              <w:t>Focus Area:</w:t>
            </w:r>
          </w:p>
        </w:tc>
        <w:tc>
          <w:tcPr>
            <w:tcW w:type="dxa" w:w="5760"/>
          </w:tcPr>
          <w:p>
            <w:r>
              <w:rPr>
                <w:rFonts w:ascii="Calibri" w:hAnsi="Calibri"/>
                <w:sz w:val="22"/>
              </w:rPr>
              <w:t>Online interaction between multiple AAC/AT users</w:t>
            </w:r>
          </w:p>
        </w:tc>
      </w:tr>
      <w:tr>
        <w:tc>
          <w:tcPr>
            <w:tcW w:type="dxa" w:w="2592"/>
          </w:tcPr>
          <w:p>
            <w:r>
              <w:rPr>
                <w:rFonts w:ascii="Calibri" w:hAnsi="Calibri"/>
                <w:b/>
                <w:color w:val="02405E"/>
                <w:sz w:val="22"/>
              </w:rPr>
              <w:t>Platform:</w:t>
            </w:r>
          </w:p>
        </w:tc>
        <w:tc>
          <w:tcPr>
            <w:tcW w:type="dxa" w:w="5760"/>
          </w:tcPr>
          <w:p>
            <w:r>
              <w:rPr>
                <w:rFonts w:ascii="Calibri" w:hAnsi="Calibri"/>
                <w:sz w:val="22"/>
              </w:rPr>
              <w:t>Browser-based web application</w:t>
            </w:r>
          </w:p>
        </w:tc>
      </w:tr>
      <w:tr>
        <w:tc>
          <w:tcPr>
            <w:tcW w:type="dxa" w:w="2592"/>
          </w:tcPr>
          <w:p>
            <w:r>
              <w:rPr>
                <w:rFonts w:ascii="Calibri" w:hAnsi="Calibri"/>
                <w:b/>
                <w:color w:val="02405E"/>
                <w:sz w:val="22"/>
              </w:rPr>
              <w:t>Date:</w:t>
            </w:r>
          </w:p>
        </w:tc>
        <w:tc>
          <w:tcPr>
            <w:tcW w:type="dxa" w:w="5760"/>
          </w:tcPr>
          <w:p>
            <w:r>
              <w:rPr>
                <w:rFonts w:ascii="Calibri" w:hAnsi="Calibri"/>
                <w:sz w:val="22"/>
              </w:rPr>
              <w:t>March 2026</w:t>
            </w:r>
          </w:p>
        </w:tc>
      </w:tr>
    </w:tbl>
    <w:p>
      <w:r>
        <w:br w:type="page"/>
      </w:r>
    </w:p>
    <w:p>
      <w:pPr>
        <w:pStyle w:val="Heading1"/>
        <w:jc w:val="left"/>
      </w:pPr>
      <w:r>
        <w:rPr>
          <w:rFonts w:ascii="Calibri" w:hAnsi="Calibri"/>
          <w:color w:val="02405E"/>
        </w:rPr>
        <w:t>1. Executive Summary</w:t>
      </w:r>
    </w:p>
    <w:p>
      <w:pPr>
        <w:spacing w:after="120"/>
      </w:pPr>
      <w:r>
        <w:rPr>
          <w:rFonts w:ascii="Calibri" w:hAnsi="Calibri"/>
          <w:b w:val="0"/>
          <w:i w:val="0"/>
          <w:sz w:val="22"/>
        </w:rPr>
        <w:t>CommBridge is a browser-based communication practice platform designed to help individuals with communication difficulties — including AAC (Augmentative and Alternative Communication) and Assistive Technology (AT) users — practise real-world communication skills through online interaction with others.</w:t>
      </w:r>
    </w:p>
    <w:p>
      <w:pPr>
        <w:spacing w:after="120"/>
      </w:pPr>
      <w:r>
        <w:rPr>
          <w:rFonts w:ascii="Calibri" w:hAnsi="Calibri"/>
          <w:b w:val="0"/>
          <w:i w:val="0"/>
          <w:sz w:val="22"/>
        </w:rPr>
        <w:t>The platform addresses a critical gap identified by SPD's Specialised Assistive Technology Centre (SATC): while many individuals receive therapy and training with AAC/AT devices, they have limited safe, flexible opportunities to practise these skills in realistic everyday scenarios. Going into the community poses challenges around safety, supervision, time, and accessibility.</w:t>
      </w:r>
    </w:p>
    <w:p>
      <w:pPr>
        <w:spacing w:after="120"/>
      </w:pPr>
      <w:r>
        <w:rPr>
          <w:rFonts w:ascii="Calibri" w:hAnsi="Calibri"/>
          <w:b w:val="0"/>
          <w:i w:val="0"/>
          <w:sz w:val="22"/>
        </w:rPr>
        <w:t>CommBridge creates an online space where users can connect with peers, engage with therapists, and practise communication in simulated scenarios — from ordering food to asking for help — at their own pace, with their own access method, and with the support of caregivers or clinicians.</w:t>
      </w:r>
    </w:p>
    <w:p/>
    <w:p>
      <w:pPr>
        <w:pStyle w:val="Heading1"/>
        <w:jc w:val="left"/>
      </w:pPr>
      <w:r>
        <w:rPr>
          <w:rFonts w:ascii="Calibri" w:hAnsi="Calibri"/>
          <w:color w:val="02405E"/>
        </w:rPr>
        <w:t>2. Problem Statement</w:t>
      </w:r>
    </w:p>
    <w:p>
      <w:pPr>
        <w:spacing w:after="160"/>
        <w:jc w:val="center"/>
      </w:pPr>
      <w:r>
        <w:rPr>
          <w:rFonts w:ascii="Calibri" w:hAnsi="Calibri"/>
          <w:i/>
          <w:color w:val="028090"/>
          <w:sz w:val="24"/>
        </w:rPr>
        <w:t>"How might we design technology-enabled solutions that allow users to practise real-world communication skills in everyday scenarios, in ways that are interactive, motivating, and relevant to their daily lives?"</w:t>
      </w:r>
    </w:p>
    <w:p>
      <w:pPr>
        <w:spacing w:after="120"/>
      </w:pPr>
      <w:r>
        <w:rPr>
          <w:rFonts w:ascii="Calibri" w:hAnsi="Calibri"/>
          <w:b w:val="0"/>
          <w:i/>
          <w:color w:val="64748B"/>
          <w:sz w:val="22"/>
        </w:rPr>
        <w:t>— SPD SATC Problem Statement</w:t>
      </w:r>
    </w:p>
    <w:p/>
    <w:p>
      <w:pPr>
        <w:pStyle w:val="Heading2"/>
        <w:jc w:val="left"/>
      </w:pPr>
      <w:r>
        <w:rPr>
          <w:rFonts w:ascii="Calibri" w:hAnsi="Calibri"/>
          <w:color w:val="028090"/>
        </w:rPr>
        <w:t>2.1 Background &amp; Context</w:t>
      </w:r>
    </w:p>
    <w:p>
      <w:pPr>
        <w:spacing w:after="120"/>
      </w:pPr>
      <w:r>
        <w:rPr>
          <w:rFonts w:ascii="Calibri" w:hAnsi="Calibri"/>
          <w:b w:val="0"/>
          <w:i w:val="0"/>
          <w:sz w:val="22"/>
        </w:rPr>
        <w:t>Individuals with complex communication needs (CCN) often rely on AAC devices or other assistive technologies to express themselves. While therapy sessions provide structured practice, the generalisation of skills to real-life settings remains a major challenge. Key barriers include:</w:t>
      </w:r>
    </w:p>
    <w:p>
      <w:pPr>
        <w:pStyle w:val="ListBullet"/>
        <w:spacing w:after="60"/>
      </w:pPr>
      <w:r>
        <w:rPr>
          <w:rFonts w:ascii="Calibri" w:hAnsi="Calibri"/>
          <w:sz w:val="22"/>
        </w:rPr>
        <w:t>Safety and supervision constraints that limit unsupervised community outings</w:t>
      </w:r>
    </w:p>
    <w:p>
      <w:pPr>
        <w:pStyle w:val="ListBullet"/>
        <w:spacing w:after="60"/>
      </w:pPr>
      <w:r>
        <w:rPr>
          <w:rFonts w:ascii="Calibri" w:hAnsi="Calibri"/>
          <w:sz w:val="22"/>
        </w:rPr>
        <w:t>Limited caregiver time and capacity to facilitate regular practice outside of therapy</w:t>
      </w:r>
    </w:p>
    <w:p>
      <w:pPr>
        <w:pStyle w:val="ListBullet"/>
        <w:spacing w:after="60"/>
      </w:pPr>
      <w:r>
        <w:rPr>
          <w:rFonts w:ascii="Calibri" w:hAnsi="Calibri"/>
          <w:sz w:val="22"/>
        </w:rPr>
        <w:t>Lack of affordable, accessible digital tools designed specifically for AAC users</w:t>
      </w:r>
    </w:p>
    <w:p>
      <w:pPr>
        <w:pStyle w:val="ListBullet"/>
        <w:spacing w:after="60"/>
      </w:pPr>
      <w:r>
        <w:rPr>
          <w:rFonts w:ascii="Calibri" w:hAnsi="Calibri"/>
          <w:sz w:val="22"/>
        </w:rPr>
        <w:t>Social isolation reducing opportunities for naturalistic communication with peers</w:t>
      </w:r>
    </w:p>
    <w:p>
      <w:pPr>
        <w:pStyle w:val="ListBullet"/>
        <w:spacing w:after="60"/>
      </w:pPr>
      <w:r>
        <w:rPr>
          <w:rFonts w:ascii="Calibri" w:hAnsi="Calibri"/>
          <w:sz w:val="22"/>
        </w:rPr>
        <w:t>Inconsistency between therapy environments and real-world communication demands</w:t>
      </w:r>
    </w:p>
    <w:p/>
    <w:p>
      <w:pPr>
        <w:pStyle w:val="Heading1"/>
        <w:jc w:val="left"/>
      </w:pPr>
      <w:r>
        <w:rPr>
          <w:rFonts w:ascii="Calibri" w:hAnsi="Calibri"/>
          <w:color w:val="02405E"/>
        </w:rPr>
        <w:t>3. Proposed Solution — CommBridge</w:t>
      </w:r>
    </w:p>
    <w:p>
      <w:pPr>
        <w:pStyle w:val="Heading2"/>
        <w:jc w:val="left"/>
      </w:pPr>
      <w:r>
        <w:rPr>
          <w:rFonts w:ascii="Calibri" w:hAnsi="Calibri"/>
          <w:color w:val="028090"/>
        </w:rPr>
        <w:t>3.1 Platform Overview</w:t>
      </w:r>
    </w:p>
    <w:p>
      <w:pPr>
        <w:spacing w:after="120"/>
      </w:pPr>
      <w:r>
        <w:rPr>
          <w:rFonts w:ascii="Calibri" w:hAnsi="Calibri"/>
          <w:b w:val="0"/>
          <w:i w:val="0"/>
          <w:sz w:val="22"/>
        </w:rPr>
        <w:t>CommBridge is a web application accessible via any modern browser on desktop, tablet, or mobile devices. It requires no installation and is designed to work with common AAC apps and access methods including switch access, eye-gaze, and touch navigation.</w:t>
      </w:r>
    </w:p>
    <w:p>
      <w:pPr>
        <w:pStyle w:val="Heading2"/>
        <w:jc w:val="left"/>
      </w:pPr>
      <w:r>
        <w:rPr>
          <w:rFonts w:ascii="Calibri" w:hAnsi="Calibri"/>
          <w:color w:val="028090"/>
        </w:rPr>
        <w:t>3.2 Core Features</w:t>
      </w:r>
    </w:p>
    <w:p>
      <w:pPr>
        <w:spacing w:after="60"/>
        <w:ind w:left="432"/>
      </w:pPr>
      <w:r>
        <w:rPr>
          <w:rFonts w:ascii="Calibri" w:hAnsi="Calibri"/>
          <w:b/>
          <w:color w:val="02405E"/>
          <w:sz w:val="22"/>
        </w:rPr>
        <w:t xml:space="preserve">• Role-Play Scenario Library: </w:t>
      </w:r>
      <w:r>
        <w:rPr>
          <w:rFonts w:ascii="Calibri" w:hAnsi="Calibri"/>
          <w:sz w:val="22"/>
        </w:rPr>
        <w:t>A curated set of everyday scenarios — ordering food at a hawker centre, grocery shopping, visiting a clinic, using public transport, making social greetings, and asking for help. Each scenario provides contextual cues, visual supports, and guided prompts to help users practise communication in a realistic setting.</w:t>
      </w:r>
    </w:p>
    <w:p>
      <w:pPr>
        <w:spacing w:after="60"/>
        <w:ind w:left="432"/>
      </w:pPr>
      <w:r>
        <w:rPr>
          <w:rFonts w:ascii="Calibri" w:hAnsi="Calibri"/>
          <w:b/>
          <w:color w:val="02405E"/>
          <w:sz w:val="22"/>
        </w:rPr>
        <w:t xml:space="preserve">• Therapist-Guided Sessions: </w:t>
      </w:r>
      <w:r>
        <w:rPr>
          <w:rFonts w:ascii="Calibri" w:hAnsi="Calibri"/>
          <w:sz w:val="22"/>
        </w:rPr>
        <w:t>Speech-language therapists and caregivers can create and host sessions, invite clients to join, and provide live support through text or audio notes. Session logs are automatically generated to support progress tracking and goal-setting.</w:t>
      </w:r>
    </w:p>
    <w:p>
      <w:pPr>
        <w:spacing w:after="60"/>
        <w:ind w:left="432"/>
      </w:pPr>
      <w:r>
        <w:rPr>
          <w:rFonts w:ascii="Calibri" w:hAnsi="Calibri"/>
          <w:b/>
          <w:color w:val="02405E"/>
          <w:sz w:val="22"/>
        </w:rPr>
        <w:t xml:space="preserve">• Peer-to-Peer Communication: </w:t>
      </w:r>
      <w:r>
        <w:rPr>
          <w:rFonts w:ascii="Calibri" w:hAnsi="Calibri"/>
          <w:sz w:val="22"/>
        </w:rPr>
        <w:t>AAC users can connect with other users for free-form conversation or structured peer activities. The platform supports AAC device integration via standard symbol boards and text output, ensuring users can participate with their preferred communication method.</w:t>
      </w:r>
    </w:p>
    <w:p>
      <w:pPr>
        <w:spacing w:after="60"/>
        <w:ind w:left="432"/>
      </w:pPr>
      <w:r>
        <w:rPr>
          <w:rFonts w:ascii="Calibri" w:hAnsi="Calibri"/>
          <w:b/>
          <w:color w:val="02405E"/>
          <w:sz w:val="22"/>
        </w:rPr>
        <w:t xml:space="preserve">• Adaptive Difficulty Engine: </w:t>
      </w:r>
      <w:r>
        <w:rPr>
          <w:rFonts w:ascii="Calibri" w:hAnsi="Calibri"/>
          <w:sz w:val="22"/>
        </w:rPr>
        <w:t>Scenarios adjust in complexity based on user performance and therapist-defined goals. Prompts can be reduced, timing extended, and vocabulary adjusted to match the user's current level.</w:t>
      </w:r>
    </w:p>
    <w:p>
      <w:pPr>
        <w:spacing w:after="60"/>
        <w:ind w:left="432"/>
      </w:pPr>
      <w:r>
        <w:rPr>
          <w:rFonts w:ascii="Calibri" w:hAnsi="Calibri"/>
          <w:b/>
          <w:color w:val="02405E"/>
          <w:sz w:val="22"/>
        </w:rPr>
        <w:t xml:space="preserve">• Skill Generalisation Tools: </w:t>
      </w:r>
      <w:r>
        <w:rPr>
          <w:rFonts w:ascii="Calibri" w:hAnsi="Calibri"/>
          <w:sz w:val="22"/>
        </w:rPr>
        <w:t>Post-session reflection prompts and structured debriefs help users consciously connect their digital practice to real-life situations. Therapists can assign follow-up community activities linked to scenarios practised online.</w:t>
      </w:r>
    </w:p>
    <w:p>
      <w:pPr>
        <w:spacing w:after="60"/>
        <w:ind w:left="432"/>
      </w:pPr>
      <w:r>
        <w:rPr>
          <w:rFonts w:ascii="Calibri" w:hAnsi="Calibri"/>
          <w:b/>
          <w:color w:val="02405E"/>
          <w:sz w:val="22"/>
        </w:rPr>
        <w:t xml:space="preserve">• Accessibility-First Design: </w:t>
      </w:r>
      <w:r>
        <w:rPr>
          <w:rFonts w:ascii="Calibri" w:hAnsi="Calibri"/>
          <w:sz w:val="22"/>
        </w:rPr>
        <w:t>Built to WCAG 2.1 AA standards. Supports keyboard navigation, switch access, voice output, large text, high-contrast themes, and integration with AAC symbol libraries including ARASAAC.</w:t>
      </w:r>
    </w:p>
    <w:p/>
    <w:p>
      <w:pPr>
        <w:pStyle w:val="Heading1"/>
        <w:jc w:val="left"/>
      </w:pPr>
      <w:r>
        <w:rPr>
          <w:rFonts w:ascii="Calibri" w:hAnsi="Calibri"/>
          <w:color w:val="02405E"/>
        </w:rPr>
        <w:t>4. Target Users</w:t>
      </w:r>
    </w:p>
    <w:tbl>
      <w:tblPr>
        <w:tblStyle w:val="TableGrid"/>
        <w:tblW w:type="auto" w:w="0"/>
        <w:jc w:val="left"/>
        <w:tblLook w:firstColumn="1" w:firstRow="1" w:lastColumn="0" w:lastRow="0" w:noHBand="0" w:noVBand="1" w:val="04A0"/>
      </w:tblPr>
      <w:tblGrid>
        <w:gridCol w:w="2196"/>
        <w:gridCol w:w="2196"/>
        <w:gridCol w:w="2196"/>
        <w:gridCol w:w="2196"/>
      </w:tblGrid>
      <w:tr>
        <w:tc>
          <w:tcPr>
            <w:tcW w:type="dxa" w:w="2196"/>
            <w:shd w:val="clear" w:color="auto" w:fill="024050"/>
          </w:tcPr>
          <w:p>
            <w:r>
              <w:rPr>
                <w:rFonts w:ascii="Calibri" w:hAnsi="Calibri"/>
                <w:b/>
                <w:color w:val="FFFFFF"/>
                <w:sz w:val="20"/>
              </w:rPr>
              <w:t>User Type</w:t>
            </w:r>
          </w:p>
        </w:tc>
        <w:tc>
          <w:tcPr>
            <w:tcW w:type="dxa" w:w="2196"/>
            <w:shd w:val="clear" w:color="auto" w:fill="024050"/>
          </w:tcPr>
          <w:p>
            <w:r>
              <w:rPr>
                <w:rFonts w:ascii="Calibri" w:hAnsi="Calibri"/>
                <w:b/>
                <w:color w:val="FFFFFF"/>
                <w:sz w:val="20"/>
              </w:rPr>
              <w:t>Age Range</w:t>
            </w:r>
          </w:p>
        </w:tc>
        <w:tc>
          <w:tcPr>
            <w:tcW w:type="dxa" w:w="2196"/>
            <w:shd w:val="clear" w:color="auto" w:fill="024050"/>
          </w:tcPr>
          <w:p>
            <w:r>
              <w:rPr>
                <w:rFonts w:ascii="Calibri" w:hAnsi="Calibri"/>
                <w:b/>
                <w:color w:val="FFFFFF"/>
                <w:sz w:val="20"/>
              </w:rPr>
              <w:t>Primary Use</w:t>
            </w:r>
          </w:p>
        </w:tc>
        <w:tc>
          <w:tcPr>
            <w:tcW w:type="dxa" w:w="2196"/>
            <w:shd w:val="clear" w:color="auto" w:fill="024050"/>
          </w:tcPr>
          <w:p>
            <w:r>
              <w:rPr>
                <w:rFonts w:ascii="Calibri" w:hAnsi="Calibri"/>
                <w:b/>
                <w:color w:val="FFFFFF"/>
                <w:sz w:val="20"/>
              </w:rPr>
              <w:t>Access Method</w:t>
            </w:r>
          </w:p>
        </w:tc>
      </w:tr>
      <w:tr>
        <w:tc>
          <w:tcPr>
            <w:tcW w:type="dxa" w:w="2196"/>
          </w:tcPr>
          <w:p>
            <w:r>
              <w:rPr>
                <w:rFonts w:ascii="Calibri" w:hAnsi="Calibri"/>
                <w:sz w:val="20"/>
              </w:rPr>
              <w:t>AAC Users</w:t>
            </w:r>
          </w:p>
        </w:tc>
        <w:tc>
          <w:tcPr>
            <w:tcW w:type="dxa" w:w="2196"/>
          </w:tcPr>
          <w:p>
            <w:r>
              <w:rPr>
                <w:rFonts w:ascii="Calibri" w:hAnsi="Calibri"/>
                <w:sz w:val="20"/>
              </w:rPr>
              <w:t>Children &amp; Adults</w:t>
            </w:r>
          </w:p>
        </w:tc>
        <w:tc>
          <w:tcPr>
            <w:tcW w:type="dxa" w:w="2196"/>
          </w:tcPr>
          <w:p>
            <w:r>
              <w:rPr>
                <w:rFonts w:ascii="Calibri" w:hAnsi="Calibri"/>
                <w:sz w:val="20"/>
              </w:rPr>
              <w:t>Practise communication in scenarios and with peers</w:t>
            </w:r>
          </w:p>
        </w:tc>
        <w:tc>
          <w:tcPr>
            <w:tcW w:type="dxa" w:w="2196"/>
          </w:tcPr>
          <w:p>
            <w:r>
              <w:rPr>
                <w:rFonts w:ascii="Calibri" w:hAnsi="Calibri"/>
                <w:sz w:val="20"/>
              </w:rPr>
              <w:t>Touch, switch, eye-gaze, symbol board</w:t>
            </w:r>
          </w:p>
        </w:tc>
      </w:tr>
      <w:tr>
        <w:tc>
          <w:tcPr>
            <w:tcW w:type="dxa" w:w="2196"/>
            <w:shd w:val="clear" w:color="auto" w:fill="F0F9FF"/>
          </w:tcPr>
          <w:p>
            <w:r>
              <w:rPr>
                <w:rFonts w:ascii="Calibri" w:hAnsi="Calibri"/>
                <w:sz w:val="20"/>
              </w:rPr>
              <w:t>Speech-Language Therapists</w:t>
            </w:r>
          </w:p>
        </w:tc>
        <w:tc>
          <w:tcPr>
            <w:tcW w:type="dxa" w:w="2196"/>
            <w:shd w:val="clear" w:color="auto" w:fill="F0F9FF"/>
          </w:tcPr>
          <w:p>
            <w:r>
              <w:rPr>
                <w:rFonts w:ascii="Calibri" w:hAnsi="Calibri"/>
                <w:sz w:val="20"/>
              </w:rPr>
              <w:t>N/A</w:t>
            </w:r>
          </w:p>
        </w:tc>
        <w:tc>
          <w:tcPr>
            <w:tcW w:type="dxa" w:w="2196"/>
            <w:shd w:val="clear" w:color="auto" w:fill="F0F9FF"/>
          </w:tcPr>
          <w:p>
            <w:r>
              <w:rPr>
                <w:rFonts w:ascii="Calibri" w:hAnsi="Calibri"/>
                <w:sz w:val="20"/>
              </w:rPr>
              <w:t>Host guided sessions, monitor progress, set goals</w:t>
            </w:r>
          </w:p>
        </w:tc>
        <w:tc>
          <w:tcPr>
            <w:tcW w:type="dxa" w:w="2196"/>
            <w:shd w:val="clear" w:color="auto" w:fill="F0F9FF"/>
          </w:tcPr>
          <w:p>
            <w:r>
              <w:rPr>
                <w:rFonts w:ascii="Calibri" w:hAnsi="Calibri"/>
                <w:sz w:val="20"/>
              </w:rPr>
              <w:t>Standard keyboard/mouse</w:t>
            </w:r>
          </w:p>
        </w:tc>
      </w:tr>
      <w:tr>
        <w:tc>
          <w:tcPr>
            <w:tcW w:type="dxa" w:w="2196"/>
          </w:tcPr>
          <w:p>
            <w:r>
              <w:rPr>
                <w:rFonts w:ascii="Calibri" w:hAnsi="Calibri"/>
                <w:sz w:val="20"/>
              </w:rPr>
              <w:t>Caregivers &amp; Family Members</w:t>
            </w:r>
          </w:p>
        </w:tc>
        <w:tc>
          <w:tcPr>
            <w:tcW w:type="dxa" w:w="2196"/>
          </w:tcPr>
          <w:p>
            <w:r>
              <w:rPr>
                <w:rFonts w:ascii="Calibri" w:hAnsi="Calibri"/>
                <w:sz w:val="20"/>
              </w:rPr>
              <w:t>N/A</w:t>
            </w:r>
          </w:p>
        </w:tc>
        <w:tc>
          <w:tcPr>
            <w:tcW w:type="dxa" w:w="2196"/>
          </w:tcPr>
          <w:p>
            <w:r>
              <w:rPr>
                <w:rFonts w:ascii="Calibri" w:hAnsi="Calibri"/>
                <w:sz w:val="20"/>
              </w:rPr>
              <w:t>Join sessions, support home practice</w:t>
            </w:r>
          </w:p>
        </w:tc>
        <w:tc>
          <w:tcPr>
            <w:tcW w:type="dxa" w:w="2196"/>
          </w:tcPr>
          <w:p>
            <w:r>
              <w:rPr>
                <w:rFonts w:ascii="Calibri" w:hAnsi="Calibri"/>
                <w:sz w:val="20"/>
              </w:rPr>
              <w:t>Standard keyboard/mouse</w:t>
            </w:r>
          </w:p>
        </w:tc>
      </w:tr>
      <w:tr>
        <w:tc>
          <w:tcPr>
            <w:tcW w:type="dxa" w:w="2196"/>
            <w:shd w:val="clear" w:color="auto" w:fill="F0F9FF"/>
          </w:tcPr>
          <w:p>
            <w:r>
              <w:rPr>
                <w:rFonts w:ascii="Calibri" w:hAnsi="Calibri"/>
                <w:sz w:val="20"/>
              </w:rPr>
              <w:t>Teachers &amp; Support Staff</w:t>
            </w:r>
          </w:p>
        </w:tc>
        <w:tc>
          <w:tcPr>
            <w:tcW w:type="dxa" w:w="2196"/>
            <w:shd w:val="clear" w:color="auto" w:fill="F0F9FF"/>
          </w:tcPr>
          <w:p>
            <w:r>
              <w:rPr>
                <w:rFonts w:ascii="Calibri" w:hAnsi="Calibri"/>
                <w:sz w:val="20"/>
              </w:rPr>
              <w:t>N/A</w:t>
            </w:r>
          </w:p>
        </w:tc>
        <w:tc>
          <w:tcPr>
            <w:tcW w:type="dxa" w:w="2196"/>
            <w:shd w:val="clear" w:color="auto" w:fill="F0F9FF"/>
          </w:tcPr>
          <w:p>
            <w:r>
              <w:rPr>
                <w:rFonts w:ascii="Calibri" w:hAnsi="Calibri"/>
                <w:sz w:val="20"/>
              </w:rPr>
              <w:t>Run classroom-based practice sessions</w:t>
            </w:r>
          </w:p>
        </w:tc>
        <w:tc>
          <w:tcPr>
            <w:tcW w:type="dxa" w:w="2196"/>
            <w:shd w:val="clear" w:color="auto" w:fill="F0F9FF"/>
          </w:tcPr>
          <w:p>
            <w:r>
              <w:rPr>
                <w:rFonts w:ascii="Calibri" w:hAnsi="Calibri"/>
                <w:sz w:val="20"/>
              </w:rPr>
              <w:t>Standard keyboard/mouse</w:t>
            </w:r>
          </w:p>
        </w:tc>
      </w:tr>
    </w:tbl>
    <w:p/>
    <w:p>
      <w:pPr>
        <w:pStyle w:val="Heading1"/>
        <w:jc w:val="left"/>
      </w:pPr>
      <w:r>
        <w:rPr>
          <w:rFonts w:ascii="Calibri" w:hAnsi="Calibri"/>
          <w:color w:val="02405E"/>
        </w:rPr>
        <w:t>5. Technical Architecture</w:t>
      </w:r>
    </w:p>
    <w:p>
      <w:pPr>
        <w:pStyle w:val="Heading2"/>
        <w:jc w:val="left"/>
      </w:pPr>
      <w:r>
        <w:rPr>
          <w:rFonts w:ascii="Calibri" w:hAnsi="Calibri"/>
          <w:color w:val="028090"/>
        </w:rPr>
        <w:t>5.1 Technology Stack</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28090"/>
          </w:tcPr>
          <w:p>
            <w:r>
              <w:rPr>
                <w:rFonts w:ascii="Calibri" w:hAnsi="Calibri"/>
                <w:b/>
                <w:color w:val="FFFFFF"/>
                <w:sz w:val="20"/>
              </w:rPr>
              <w:t>Layer / Concern</w:t>
            </w:r>
          </w:p>
        </w:tc>
        <w:tc>
          <w:tcPr>
            <w:tcW w:type="dxa" w:w="2928"/>
            <w:shd w:val="clear" w:color="auto" w:fill="028090"/>
          </w:tcPr>
          <w:p>
            <w:r>
              <w:rPr>
                <w:rFonts w:ascii="Calibri" w:hAnsi="Calibri"/>
                <w:b/>
                <w:color w:val="FFFFFF"/>
                <w:sz w:val="20"/>
              </w:rPr>
              <w:t>Technology</w:t>
            </w:r>
          </w:p>
        </w:tc>
        <w:tc>
          <w:tcPr>
            <w:tcW w:type="dxa" w:w="2928"/>
            <w:shd w:val="clear" w:color="auto" w:fill="028090"/>
          </w:tcPr>
          <w:p>
            <w:r>
              <w:rPr>
                <w:rFonts w:ascii="Calibri" w:hAnsi="Calibri"/>
                <w:b/>
                <w:color w:val="FFFFFF"/>
                <w:sz w:val="20"/>
              </w:rPr>
              <w:t>Purpose</w:t>
            </w:r>
          </w:p>
        </w:tc>
      </w:tr>
      <w:tr>
        <w:tc>
          <w:tcPr>
            <w:tcW w:type="dxa" w:w="2928"/>
            <w:shd w:val="clear" w:color="auto" w:fill="F0F9FF"/>
          </w:tcPr>
          <w:p>
            <w:r>
              <w:rPr>
                <w:rFonts w:ascii="Calibri" w:hAnsi="Calibri"/>
                <w:b/>
                <w:sz w:val="20"/>
              </w:rPr>
              <w:t>Frontend</w:t>
            </w:r>
          </w:p>
        </w:tc>
        <w:tc>
          <w:tcPr>
            <w:tcW w:type="dxa" w:w="2928"/>
            <w:shd w:val="clear" w:color="auto" w:fill="F0F9FF"/>
          </w:tcPr>
          <w:p>
            <w:r>
              <w:rPr>
                <w:rFonts w:ascii="Calibri" w:hAnsi="Calibri"/>
                <w:sz w:val="20"/>
              </w:rPr>
              <w:t>React.js + Next.js</w:t>
            </w:r>
          </w:p>
        </w:tc>
        <w:tc>
          <w:tcPr>
            <w:tcW w:type="dxa" w:w="2928"/>
            <w:shd w:val="clear" w:color="auto" w:fill="F0F9FF"/>
          </w:tcPr>
          <w:p>
            <w:r>
              <w:rPr>
                <w:rFonts w:ascii="Calibri" w:hAnsi="Calibri"/>
                <w:sz w:val="20"/>
              </w:rPr>
              <w:t>Component-based UI, SSR for fast load times</w:t>
            </w:r>
          </w:p>
        </w:tc>
      </w:tr>
      <w:tr>
        <w:tc>
          <w:tcPr>
            <w:tcW w:type="dxa" w:w="2928"/>
          </w:tcPr>
          <w:p>
            <w:r>
              <w:rPr>
                <w:rFonts w:ascii="Calibri" w:hAnsi="Calibri"/>
                <w:b/>
                <w:sz w:val="20"/>
              </w:rPr>
              <w:t>Real-time Communication</w:t>
            </w:r>
          </w:p>
        </w:tc>
        <w:tc>
          <w:tcPr>
            <w:tcW w:type="dxa" w:w="2928"/>
          </w:tcPr>
          <w:p>
            <w:r>
              <w:rPr>
                <w:rFonts w:ascii="Calibri" w:hAnsi="Calibri"/>
                <w:sz w:val="20"/>
              </w:rPr>
              <w:t>Socket.io + WebRTC</w:t>
            </w:r>
          </w:p>
        </w:tc>
        <w:tc>
          <w:tcPr>
            <w:tcW w:type="dxa" w:w="2928"/>
          </w:tcPr>
          <w:p>
            <w:r>
              <w:rPr>
                <w:rFonts w:ascii="Calibri" w:hAnsi="Calibri"/>
                <w:sz w:val="20"/>
              </w:rPr>
              <w:t>Live chat, session sync, optional video/audio</w:t>
            </w:r>
          </w:p>
        </w:tc>
      </w:tr>
      <w:tr>
        <w:tc>
          <w:tcPr>
            <w:tcW w:type="dxa" w:w="2928"/>
            <w:shd w:val="clear" w:color="auto" w:fill="F0F9FF"/>
          </w:tcPr>
          <w:p>
            <w:r>
              <w:rPr>
                <w:rFonts w:ascii="Calibri" w:hAnsi="Calibri"/>
                <w:b/>
                <w:sz w:val="20"/>
              </w:rPr>
              <w:t>Backend</w:t>
            </w:r>
          </w:p>
        </w:tc>
        <w:tc>
          <w:tcPr>
            <w:tcW w:type="dxa" w:w="2928"/>
            <w:shd w:val="clear" w:color="auto" w:fill="F0F9FF"/>
          </w:tcPr>
          <w:p>
            <w:r>
              <w:rPr>
                <w:rFonts w:ascii="Calibri" w:hAnsi="Calibri"/>
                <w:sz w:val="20"/>
              </w:rPr>
              <w:t>Node.js + Express</w:t>
            </w:r>
          </w:p>
        </w:tc>
        <w:tc>
          <w:tcPr>
            <w:tcW w:type="dxa" w:w="2928"/>
            <w:shd w:val="clear" w:color="auto" w:fill="F0F9FF"/>
          </w:tcPr>
          <w:p>
            <w:r>
              <w:rPr>
                <w:rFonts w:ascii="Calibri" w:hAnsi="Calibri"/>
                <w:sz w:val="20"/>
              </w:rPr>
              <w:t>RESTful API, session management, business logic</w:t>
            </w:r>
          </w:p>
        </w:tc>
      </w:tr>
      <w:tr>
        <w:tc>
          <w:tcPr>
            <w:tcW w:type="dxa" w:w="2928"/>
          </w:tcPr>
          <w:p>
            <w:r>
              <w:rPr>
                <w:rFonts w:ascii="Calibri" w:hAnsi="Calibri"/>
                <w:b/>
                <w:sz w:val="20"/>
              </w:rPr>
              <w:t>Database</w:t>
            </w:r>
          </w:p>
        </w:tc>
        <w:tc>
          <w:tcPr>
            <w:tcW w:type="dxa" w:w="2928"/>
          </w:tcPr>
          <w:p>
            <w:r>
              <w:rPr>
                <w:rFonts w:ascii="Calibri" w:hAnsi="Calibri"/>
                <w:sz w:val="20"/>
              </w:rPr>
              <w:t>PostgreSQL + Redis</w:t>
            </w:r>
          </w:p>
        </w:tc>
        <w:tc>
          <w:tcPr>
            <w:tcW w:type="dxa" w:w="2928"/>
          </w:tcPr>
          <w:p>
            <w:r>
              <w:rPr>
                <w:rFonts w:ascii="Calibri" w:hAnsi="Calibri"/>
                <w:sz w:val="20"/>
              </w:rPr>
              <w:t>User data &amp; sessions / Real-time state management</w:t>
            </w:r>
          </w:p>
        </w:tc>
      </w:tr>
      <w:tr>
        <w:tc>
          <w:tcPr>
            <w:tcW w:type="dxa" w:w="2928"/>
            <w:shd w:val="clear" w:color="auto" w:fill="F0F9FF"/>
          </w:tcPr>
          <w:p>
            <w:r>
              <w:rPr>
                <w:rFonts w:ascii="Calibri" w:hAnsi="Calibri"/>
                <w:b/>
                <w:sz w:val="20"/>
              </w:rPr>
              <w:t>AI Integration</w:t>
            </w:r>
          </w:p>
        </w:tc>
        <w:tc>
          <w:tcPr>
            <w:tcW w:type="dxa" w:w="2928"/>
            <w:shd w:val="clear" w:color="auto" w:fill="F0F9FF"/>
          </w:tcPr>
          <w:p>
            <w:r>
              <w:rPr>
                <w:rFonts w:ascii="Calibri" w:hAnsi="Calibri"/>
                <w:sz w:val="20"/>
              </w:rPr>
              <w:t>Claude API (Anthropic)</w:t>
            </w:r>
          </w:p>
        </w:tc>
        <w:tc>
          <w:tcPr>
            <w:tcW w:type="dxa" w:w="2928"/>
            <w:shd w:val="clear" w:color="auto" w:fill="F0F9FF"/>
          </w:tcPr>
          <w:p>
            <w:r>
              <w:rPr>
                <w:rFonts w:ascii="Calibri" w:hAnsi="Calibri"/>
                <w:sz w:val="20"/>
              </w:rPr>
              <w:t>Adaptive conversation partner for solo practice</w:t>
            </w:r>
          </w:p>
        </w:tc>
      </w:tr>
      <w:tr>
        <w:tc>
          <w:tcPr>
            <w:tcW w:type="dxa" w:w="2928"/>
          </w:tcPr>
          <w:p>
            <w:r>
              <w:rPr>
                <w:rFonts w:ascii="Calibri" w:hAnsi="Calibri"/>
                <w:b/>
                <w:sz w:val="20"/>
              </w:rPr>
              <w:t>Media Storage</w:t>
            </w:r>
          </w:p>
        </w:tc>
        <w:tc>
          <w:tcPr>
            <w:tcW w:type="dxa" w:w="2928"/>
          </w:tcPr>
          <w:p>
            <w:r>
              <w:rPr>
                <w:rFonts w:ascii="Calibri" w:hAnsi="Calibri"/>
                <w:sz w:val="20"/>
              </w:rPr>
              <w:t>AWS S3</w:t>
            </w:r>
          </w:p>
        </w:tc>
        <w:tc>
          <w:tcPr>
            <w:tcW w:type="dxa" w:w="2928"/>
          </w:tcPr>
          <w:p>
            <w:r>
              <w:rPr>
                <w:rFonts w:ascii="Calibri" w:hAnsi="Calibri"/>
                <w:sz w:val="20"/>
              </w:rPr>
              <w:t>Symbol assets, session recordings</w:t>
            </w:r>
          </w:p>
        </w:tc>
      </w:tr>
      <w:tr>
        <w:tc>
          <w:tcPr>
            <w:tcW w:type="dxa" w:w="2928"/>
            <w:shd w:val="clear" w:color="auto" w:fill="F0F9FF"/>
          </w:tcPr>
          <w:p>
            <w:r>
              <w:rPr>
                <w:rFonts w:ascii="Calibri" w:hAnsi="Calibri"/>
                <w:b/>
                <w:sz w:val="20"/>
              </w:rPr>
              <w:t>Authentication</w:t>
            </w:r>
          </w:p>
        </w:tc>
        <w:tc>
          <w:tcPr>
            <w:tcW w:type="dxa" w:w="2928"/>
            <w:shd w:val="clear" w:color="auto" w:fill="F0F9FF"/>
          </w:tcPr>
          <w:p>
            <w:r>
              <w:rPr>
                <w:rFonts w:ascii="Calibri" w:hAnsi="Calibri"/>
                <w:sz w:val="20"/>
              </w:rPr>
              <w:t>JWT + RBAC</w:t>
            </w:r>
          </w:p>
        </w:tc>
        <w:tc>
          <w:tcPr>
            <w:tcW w:type="dxa" w:w="2928"/>
            <w:shd w:val="clear" w:color="auto" w:fill="F0F9FF"/>
          </w:tcPr>
          <w:p>
            <w:r>
              <w:rPr>
                <w:rFonts w:ascii="Calibri" w:hAnsi="Calibri"/>
                <w:sz w:val="20"/>
              </w:rPr>
              <w:t>Role-based access control (user/therapist/admin)</w:t>
            </w:r>
          </w:p>
        </w:tc>
      </w:tr>
      <w:tr>
        <w:tc>
          <w:tcPr>
            <w:tcW w:type="dxa" w:w="2928"/>
          </w:tcPr>
          <w:p>
            <w:r>
              <w:rPr>
                <w:rFonts w:ascii="Calibri" w:hAnsi="Calibri"/>
                <w:b/>
                <w:sz w:val="20"/>
              </w:rPr>
              <w:t>Hosting</w:t>
            </w:r>
          </w:p>
        </w:tc>
        <w:tc>
          <w:tcPr>
            <w:tcW w:type="dxa" w:w="2928"/>
          </w:tcPr>
          <w:p>
            <w:r>
              <w:rPr>
                <w:rFonts w:ascii="Calibri" w:hAnsi="Calibri"/>
                <w:sz w:val="20"/>
              </w:rPr>
              <w:t>AWS / Render</w:t>
            </w:r>
          </w:p>
        </w:tc>
        <w:tc>
          <w:tcPr>
            <w:tcW w:type="dxa" w:w="2928"/>
          </w:tcPr>
          <w:p>
            <w:r>
              <w:rPr>
                <w:rFonts w:ascii="Calibri" w:hAnsi="Calibri"/>
                <w:sz w:val="20"/>
              </w:rPr>
              <w:t>Scalable cloud hosting, CDN for assets</w:t>
            </w:r>
          </w:p>
        </w:tc>
      </w:tr>
      <w:tr>
        <w:tc>
          <w:tcPr>
            <w:tcW w:type="dxa" w:w="2928"/>
            <w:shd w:val="clear" w:color="auto" w:fill="F0F9FF"/>
          </w:tcPr>
          <w:p>
            <w:r>
              <w:rPr>
                <w:rFonts w:ascii="Calibri" w:hAnsi="Calibri"/>
                <w:b/>
                <w:sz w:val="20"/>
              </w:rPr>
              <w:t>Accessibility</w:t>
            </w:r>
          </w:p>
        </w:tc>
        <w:tc>
          <w:tcPr>
            <w:tcW w:type="dxa" w:w="2928"/>
            <w:shd w:val="clear" w:color="auto" w:fill="F0F9FF"/>
          </w:tcPr>
          <w:p>
            <w:r>
              <w:rPr>
                <w:rFonts w:ascii="Calibri" w:hAnsi="Calibri"/>
                <w:sz w:val="20"/>
              </w:rPr>
              <w:t>WCAG 2.1 AA + ARASAAC</w:t>
            </w:r>
          </w:p>
        </w:tc>
        <w:tc>
          <w:tcPr>
            <w:tcW w:type="dxa" w:w="2928"/>
            <w:shd w:val="clear" w:color="auto" w:fill="F0F9FF"/>
          </w:tcPr>
          <w:p>
            <w:r>
              <w:rPr>
                <w:rFonts w:ascii="Calibri" w:hAnsi="Calibri"/>
                <w:sz w:val="20"/>
              </w:rPr>
              <w:t>Accessible design + open-source symbol library</w:t>
            </w:r>
          </w:p>
        </w:tc>
      </w:tr>
    </w:tbl>
    <w:p/>
    <w:p>
      <w:pPr>
        <w:pStyle w:val="Heading2"/>
        <w:jc w:val="left"/>
      </w:pPr>
      <w:r>
        <w:rPr>
          <w:rFonts w:ascii="Calibri" w:hAnsi="Calibri"/>
          <w:color w:val="028090"/>
        </w:rPr>
        <w:t>5.2 Data Privacy &amp; Compliance</w:t>
      </w:r>
    </w:p>
    <w:p>
      <w:pPr>
        <w:spacing w:after="120"/>
      </w:pPr>
      <w:r>
        <w:rPr>
          <w:rFonts w:ascii="Calibri" w:hAnsi="Calibri"/>
          <w:b w:val="0"/>
          <w:i w:val="0"/>
          <w:sz w:val="22"/>
        </w:rPr>
        <w:t>As the platform will be used with vulnerable populations including children, strict data privacy measures are essential. The platform will be designed with the following principles:</w:t>
      </w:r>
    </w:p>
    <w:p>
      <w:pPr>
        <w:pStyle w:val="ListBullet"/>
        <w:spacing w:after="60"/>
      </w:pPr>
      <w:r>
        <w:rPr>
          <w:rFonts w:ascii="Calibri" w:hAnsi="Calibri"/>
          <w:sz w:val="22"/>
        </w:rPr>
        <w:t>PDPA (Singapore Personal Data Protection Act) compliance for all user data</w:t>
      </w:r>
    </w:p>
    <w:p>
      <w:pPr>
        <w:pStyle w:val="ListBullet"/>
        <w:spacing w:after="60"/>
      </w:pPr>
      <w:r>
        <w:rPr>
          <w:rFonts w:ascii="Calibri" w:hAnsi="Calibri"/>
          <w:sz w:val="22"/>
        </w:rPr>
        <w:t>No personal data stored beyond what is required for session functionality</w:t>
      </w:r>
    </w:p>
    <w:p>
      <w:pPr>
        <w:pStyle w:val="ListBullet"/>
        <w:spacing w:after="60"/>
      </w:pPr>
      <w:r>
        <w:rPr>
          <w:rFonts w:ascii="Calibri" w:hAnsi="Calibri"/>
          <w:sz w:val="22"/>
        </w:rPr>
        <w:t>Therapist consent required before any session is recorded or logged</w:t>
      </w:r>
    </w:p>
    <w:p>
      <w:pPr>
        <w:pStyle w:val="ListBullet"/>
        <w:spacing w:after="60"/>
      </w:pPr>
      <w:r>
        <w:rPr>
          <w:rFonts w:ascii="Calibri" w:hAnsi="Calibri"/>
          <w:sz w:val="22"/>
        </w:rPr>
        <w:t>Separate data environments for adults and minors</w:t>
      </w:r>
    </w:p>
    <w:p>
      <w:pPr>
        <w:pStyle w:val="ListBullet"/>
        <w:spacing w:after="60"/>
      </w:pPr>
      <w:r>
        <w:rPr>
          <w:rFonts w:ascii="Calibri" w:hAnsi="Calibri"/>
          <w:sz w:val="22"/>
        </w:rPr>
        <w:t>Regular security audits and penetration testing before production deployment</w:t>
      </w:r>
    </w:p>
    <w:p/>
    <w:p>
      <w:pPr>
        <w:pStyle w:val="Heading1"/>
        <w:jc w:val="left"/>
      </w:pPr>
      <w:r>
        <w:rPr>
          <w:rFonts w:ascii="Calibri" w:hAnsi="Calibri"/>
          <w:color w:val="02405E"/>
        </w:rPr>
        <w:t>6. Project Roadmap</w:t>
      </w:r>
    </w:p>
    <w:p>
      <w:pPr>
        <w:spacing w:after="40"/>
      </w:pPr>
      <w:r>
        <w:rPr>
          <w:rFonts w:ascii="Calibri" w:hAnsi="Calibri"/>
          <w:b/>
          <w:color w:val="028090"/>
          <w:sz w:val="24"/>
        </w:rPr>
        <w:t>Week 1–2 — Discovery &amp; Design</w:t>
      </w:r>
    </w:p>
    <w:p>
      <w:pPr>
        <w:pStyle w:val="ListBullet"/>
        <w:spacing w:after="60"/>
      </w:pPr>
      <w:r>
        <w:rPr>
          <w:rFonts w:ascii="Calibri" w:hAnsi="Calibri"/>
          <w:sz w:val="22"/>
        </w:rPr>
        <w:t>User interviews with AAC users, STs, and caregivers at SATC</w:t>
      </w:r>
    </w:p>
    <w:p>
      <w:pPr>
        <w:pStyle w:val="ListBullet"/>
        <w:spacing w:after="60"/>
      </w:pPr>
      <w:r>
        <w:rPr>
          <w:rFonts w:ascii="Calibri" w:hAnsi="Calibri"/>
          <w:sz w:val="22"/>
        </w:rPr>
        <w:t>Define priority scenarios based on user needs</w:t>
      </w:r>
    </w:p>
    <w:p>
      <w:pPr>
        <w:pStyle w:val="ListBullet"/>
        <w:spacing w:after="60"/>
      </w:pPr>
      <w:r>
        <w:rPr>
          <w:rFonts w:ascii="Calibri" w:hAnsi="Calibri"/>
          <w:sz w:val="22"/>
        </w:rPr>
        <w:t>Wireframes and low-fidelity prototype in Figma</w:t>
      </w:r>
    </w:p>
    <w:p>
      <w:pPr>
        <w:pStyle w:val="ListBullet"/>
        <w:spacing w:after="60"/>
      </w:pPr>
      <w:r>
        <w:rPr>
          <w:rFonts w:ascii="Calibri" w:hAnsi="Calibri"/>
          <w:sz w:val="22"/>
        </w:rPr>
        <w:t>Accessibility audit planning and heuristic review</w:t>
      </w:r>
    </w:p>
    <w:p/>
    <w:p>
      <w:pPr>
        <w:spacing w:after="40"/>
      </w:pPr>
      <w:r>
        <w:rPr>
          <w:rFonts w:ascii="Calibri" w:hAnsi="Calibri"/>
          <w:b/>
          <w:color w:val="028090"/>
          <w:sz w:val="24"/>
        </w:rPr>
        <w:t>Week 3–4 — Core Development</w:t>
      </w:r>
    </w:p>
    <w:p>
      <w:pPr>
        <w:pStyle w:val="ListBullet"/>
        <w:spacing w:after="60"/>
      </w:pPr>
      <w:r>
        <w:rPr>
          <w:rFonts w:ascii="Calibri" w:hAnsi="Calibri"/>
          <w:sz w:val="22"/>
        </w:rPr>
        <w:t>Build real-time chat with Socket.io</w:t>
      </w:r>
    </w:p>
    <w:p>
      <w:pPr>
        <w:pStyle w:val="ListBullet"/>
        <w:spacing w:after="60"/>
      </w:pPr>
      <w:r>
        <w:rPr>
          <w:rFonts w:ascii="Calibri" w:hAnsi="Calibri"/>
          <w:sz w:val="22"/>
        </w:rPr>
        <w:t>Develop AAC symbol board component</w:t>
      </w:r>
    </w:p>
    <w:p>
      <w:pPr>
        <w:pStyle w:val="ListBullet"/>
        <w:spacing w:after="60"/>
      </w:pPr>
      <w:r>
        <w:rPr>
          <w:rFonts w:ascii="Calibri" w:hAnsi="Calibri"/>
          <w:sz w:val="22"/>
        </w:rPr>
        <w:t>Implement first 3 role-play scenarios</w:t>
      </w:r>
    </w:p>
    <w:p>
      <w:pPr>
        <w:pStyle w:val="ListBullet"/>
        <w:spacing w:after="60"/>
      </w:pPr>
      <w:r>
        <w:rPr>
          <w:rFonts w:ascii="Calibri" w:hAnsi="Calibri"/>
          <w:sz w:val="22"/>
        </w:rPr>
        <w:t>Basic therapist session management dashboard</w:t>
      </w:r>
    </w:p>
    <w:p/>
    <w:p>
      <w:pPr>
        <w:spacing w:after="40"/>
      </w:pPr>
      <w:r>
        <w:rPr>
          <w:rFonts w:ascii="Calibri" w:hAnsi="Calibri"/>
          <w:b/>
          <w:color w:val="028090"/>
          <w:sz w:val="24"/>
        </w:rPr>
        <w:t>Week 5–6 — User Testing &amp; Iteration</w:t>
      </w:r>
    </w:p>
    <w:p>
      <w:pPr>
        <w:pStyle w:val="ListBullet"/>
        <w:spacing w:after="60"/>
      </w:pPr>
      <w:r>
        <w:rPr>
          <w:rFonts w:ascii="Calibri" w:hAnsi="Calibri"/>
          <w:sz w:val="22"/>
        </w:rPr>
        <w:t>User testing sessions with SATC clients and therapists</w:t>
      </w:r>
    </w:p>
    <w:p>
      <w:pPr>
        <w:pStyle w:val="ListBullet"/>
        <w:spacing w:after="60"/>
      </w:pPr>
      <w:r>
        <w:rPr>
          <w:rFonts w:ascii="Calibri" w:hAnsi="Calibri"/>
          <w:sz w:val="22"/>
        </w:rPr>
        <w:t>Accessibility testing with AT users</w:t>
      </w:r>
    </w:p>
    <w:p>
      <w:pPr>
        <w:pStyle w:val="ListBullet"/>
        <w:spacing w:after="60"/>
      </w:pPr>
      <w:r>
        <w:rPr>
          <w:rFonts w:ascii="Calibri" w:hAnsi="Calibri"/>
          <w:sz w:val="22"/>
        </w:rPr>
        <w:t>Iterate on UI, prompts, and session flow</w:t>
      </w:r>
    </w:p>
    <w:p>
      <w:pPr>
        <w:pStyle w:val="ListBullet"/>
        <w:spacing w:after="60"/>
      </w:pPr>
      <w:r>
        <w:rPr>
          <w:rFonts w:ascii="Calibri" w:hAnsi="Calibri"/>
          <w:sz w:val="22"/>
        </w:rPr>
        <w:t>Fix bugs and incorporate feedback</w:t>
      </w:r>
    </w:p>
    <w:p/>
    <w:p>
      <w:pPr>
        <w:spacing w:after="40"/>
      </w:pPr>
      <w:r>
        <w:rPr>
          <w:rFonts w:ascii="Calibri" w:hAnsi="Calibri"/>
          <w:b/>
          <w:color w:val="028090"/>
          <w:sz w:val="24"/>
        </w:rPr>
        <w:t>Week 7+ — Pilot &amp; Handover</w:t>
      </w:r>
    </w:p>
    <w:p>
      <w:pPr>
        <w:pStyle w:val="ListBullet"/>
        <w:spacing w:after="60"/>
      </w:pPr>
      <w:r>
        <w:rPr>
          <w:rFonts w:ascii="Calibri" w:hAnsi="Calibri"/>
          <w:sz w:val="22"/>
        </w:rPr>
        <w:t>Pilot deployment with SATC therapists</w:t>
      </w:r>
    </w:p>
    <w:p>
      <w:pPr>
        <w:pStyle w:val="ListBullet"/>
        <w:spacing w:after="60"/>
      </w:pPr>
      <w:r>
        <w:rPr>
          <w:rFonts w:ascii="Calibri" w:hAnsi="Calibri"/>
          <w:sz w:val="22"/>
        </w:rPr>
        <w:t>Final testing and documentation</w:t>
      </w:r>
    </w:p>
    <w:p>
      <w:pPr>
        <w:pStyle w:val="ListBullet"/>
        <w:spacing w:after="60"/>
      </w:pPr>
      <w:r>
        <w:rPr>
          <w:rFonts w:ascii="Calibri" w:hAnsi="Calibri"/>
          <w:sz w:val="22"/>
        </w:rPr>
        <w:t>Present findings and demo to SPD stakeholders</w:t>
      </w:r>
    </w:p>
    <w:p>
      <w:pPr>
        <w:pStyle w:val="ListBullet"/>
        <w:spacing w:after="60"/>
      </w:pPr>
      <w:r>
        <w:rPr>
          <w:rFonts w:ascii="Calibri" w:hAnsi="Calibri"/>
          <w:sz w:val="22"/>
        </w:rPr>
        <w:t>Recommendations for future development</w:t>
      </w:r>
    </w:p>
    <w:p/>
    <w:p>
      <w:pPr>
        <w:pStyle w:val="Heading1"/>
        <w:jc w:val="left"/>
      </w:pPr>
      <w:r>
        <w:rPr>
          <w:rFonts w:ascii="Calibri" w:hAnsi="Calibri"/>
          <w:color w:val="02405E"/>
        </w:rPr>
        <w:t>7. Success Metrics</w:t>
      </w:r>
    </w:p>
    <w:p>
      <w:pPr>
        <w:spacing w:after="120"/>
      </w:pPr>
      <w:r>
        <w:rPr>
          <w:rFonts w:ascii="Calibri" w:hAnsi="Calibri"/>
          <w:b w:val="0"/>
          <w:i w:val="0"/>
          <w:sz w:val="22"/>
        </w:rPr>
        <w:t>The project will be evaluated against the following outcomes:</w:t>
      </w:r>
    </w:p>
    <w:p>
      <w:pPr>
        <w:pStyle w:val="ListBullet"/>
        <w:spacing w:after="60"/>
      </w:pPr>
      <w:r>
        <w:rPr>
          <w:rFonts w:ascii="Calibri" w:hAnsi="Calibri"/>
          <w:sz w:val="22"/>
        </w:rPr>
        <w:t>User engagement: AAC users complete at least 3 scenario practice sessions per week</w:t>
      </w:r>
    </w:p>
    <w:p>
      <w:pPr>
        <w:pStyle w:val="ListBullet"/>
        <w:spacing w:after="60"/>
      </w:pPr>
      <w:r>
        <w:rPr>
          <w:rFonts w:ascii="Calibri" w:hAnsi="Calibri"/>
          <w:sz w:val="22"/>
        </w:rPr>
        <w:t>Therapist adoption: At least 5 SATC therapists use the platform for at least one guided session</w:t>
      </w:r>
    </w:p>
    <w:p>
      <w:pPr>
        <w:pStyle w:val="ListBullet"/>
        <w:spacing w:after="60"/>
      </w:pPr>
      <w:r>
        <w:rPr>
          <w:rFonts w:ascii="Calibri" w:hAnsi="Calibri"/>
          <w:sz w:val="22"/>
        </w:rPr>
        <w:t>Accessibility: Platform meets WCAG 2.1 AA standards with no critical failures</w:t>
      </w:r>
    </w:p>
    <w:p>
      <w:pPr>
        <w:pStyle w:val="ListBullet"/>
        <w:spacing w:after="60"/>
      </w:pPr>
      <w:r>
        <w:rPr>
          <w:rFonts w:ascii="Calibri" w:hAnsi="Calibri"/>
          <w:sz w:val="22"/>
        </w:rPr>
        <w:t>Skill transfer: Therapist-reported improvement in real-world communication confidence (qualitative)</w:t>
      </w:r>
    </w:p>
    <w:p>
      <w:pPr>
        <w:pStyle w:val="ListBullet"/>
        <w:spacing w:after="60"/>
      </w:pPr>
      <w:r>
        <w:rPr>
          <w:rFonts w:ascii="Calibri" w:hAnsi="Calibri"/>
          <w:sz w:val="22"/>
        </w:rPr>
        <w:t>Usability: System Usability Scale (SUS) score of 70+ from user testing</w:t>
      </w:r>
    </w:p>
    <w:p>
      <w:pPr>
        <w:pStyle w:val="ListBullet"/>
        <w:spacing w:after="60"/>
      </w:pPr>
      <w:r>
        <w:rPr>
          <w:rFonts w:ascii="Calibri" w:hAnsi="Calibri"/>
          <w:sz w:val="22"/>
        </w:rPr>
        <w:t>Technical: &lt; 200ms latency for real-time chat; 99% uptime during pilot</w:t>
      </w:r>
    </w:p>
    <w:p/>
    <w:p>
      <w:pPr>
        <w:pStyle w:val="Heading1"/>
        <w:jc w:val="left"/>
      </w:pPr>
      <w:r>
        <w:rPr>
          <w:rFonts w:ascii="Calibri" w:hAnsi="Calibri"/>
          <w:color w:val="02405E"/>
        </w:rPr>
        <w:t>8. Conclusion</w:t>
      </w:r>
    </w:p>
    <w:p>
      <w:pPr>
        <w:spacing w:after="120"/>
      </w:pPr>
      <w:r>
        <w:rPr>
          <w:rFonts w:ascii="Calibri" w:hAnsi="Calibri"/>
          <w:b w:val="0"/>
          <w:i w:val="0"/>
          <w:sz w:val="22"/>
        </w:rPr>
        <w:t>CommBridge directly addresses the SPD SATC problem statement by creating a safe, flexible, and engaging online platform for AAC and AT users to practise real-world communication. By enabling online interaction between peers, therapist-guided sessions, and adaptive solo practice, CommBridge helps bridge the gap between clinic-based therapy and everyday community participation.</w:t>
      </w:r>
    </w:p>
    <w:p>
      <w:pPr>
        <w:spacing w:after="120"/>
      </w:pPr>
      <w:r>
        <w:rPr>
          <w:rFonts w:ascii="Calibri" w:hAnsi="Calibri"/>
          <w:b w:val="0"/>
          <w:i w:val="0"/>
          <w:sz w:val="22"/>
        </w:rPr>
        <w:t>Designed with accessibility at its core and built for the realities of users with complex communication needs, CommBridge has the potential to meaningfully increase the frequency and quality of communication practice for individuals served by SATC — ultimately supporting greater independence, confidence, and quality of life.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