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pBdr>
          <w:bottom w:val="single" w:color="2E75B6" w:sz="12" w:space="8"/>
        </w:pBdr>
        <w:spacing w:after="80"/>
      </w:pPr>
      <w:r>
        <w:rPr>
          <w:b/>
          <w:bCs/>
          <w:color w:val="1F3864"/>
          <w:sz w:val="44"/>
          <w:szCs w:val="44"/>
        </w:rPr>
        <w:t xml:space="preserve">PLANO DE DESENVOLVIMENTO</w:t>
      </w:r>
    </w:p>
    <w:p>
      <w:pPr>
        <w:spacing w:after="80" w:before="240"/>
      </w:pPr>
      <w:r>
        <w:rPr>
          <w:color w:val="2E5C9A"/>
          <w:sz w:val="30"/>
          <w:szCs w:val="30"/>
        </w:rPr>
        <w:t xml:space="preserve">Sistema Integrado de Emissão de Documentos Fiscais Eletrônicos, Controle de Faturamento e Gestão Financeira</w:t>
      </w:r>
    </w:p>
    <w:p>
      <w:pPr>
        <w:spacing w:after="600" w:before="120"/>
      </w:pPr>
      <w:r>
        <w:rPr>
          <w:i/>
          <w:iCs/>
          <w:color w:val="595959"/>
          <w:sz w:val="22"/>
          <w:szCs w:val="22"/>
        </w:rPr>
        <w:t xml:space="preserve">Épicos, Tarefas, Critérios de Aceitação e Estimativas — Fases 0 a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Atributo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Documento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Plano de Desenvolvimento (derivado do PRD v1.3, schema TypeORM e fluxogramas UX)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Versão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Data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22 de maio de 2026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Para revisão de Engenharia, Produto e Patrocinador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Classificação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Interno — Confidencial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Público-alvo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Tech Lead, Engenharia, Produto, QA, Patrocinador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Stack alvo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Node.js LTS · TypeScript · Express 5 · TypeORM · PostgreSQL · React 19 · tsyringe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Modelo arquitetural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Clean Architecture + SOLID + Injeção de Dependência (tsyringe)</w:t>
            </w:r>
          </w:p>
        </w:tc>
      </w:tr>
    </w:tbl>
    <w:p>
      <w:pPr>
        <w:spacing w:after="280"/>
      </w:pPr>
    </w:p>
    <w:p>
      <w:pPr>
        <w:spacing w:after="0" w:line="276"/>
      </w:pPr>
      <w:r>
        <w:rPr>
          <w:b/>
          <w:bCs/>
          <w:color w:val="595959"/>
          <w:sz w:val="18"/>
          <w:szCs w:val="18"/>
        </w:rPr>
        <w:t xml:space="preserve">Como ler este documento: </w:t>
      </w:r>
      <w:r>
        <w:rPr>
          <w:i/>
          <w:iCs/>
          <w:color w:val="595959"/>
          <w:sz w:val="18"/>
          <w:szCs w:val="18"/>
        </w:rPr>
        <w:t xml:space="preserve">o trabalho está organizado em fases (alinhadas ao roadmap do PRD), épicos (agrupamentos de valor) e tarefas (unidades executáveis). Cada tarefa tem ID estável, descrição, checklist técnico, critérios de aceitação verificáveis e estimativa em pontos de Fibonacci (1, 2, 3, 5, 8, 13). Tarefas marcadas como bloqueantes (B) impedem outras de iniciar; estimativas acima de 8 pontos devem ser quebradas no refinamento.</w:t>
      </w:r>
    </w:p>
    <w:p>
      <w:pPr>
        <w:pStyle w:val="Heading1"/>
        <w:pageBreakBefore/>
      </w:pPr>
      <w:r>
        <w:t xml:space="preserve">Sumário</w:t>
      </w:r>
    </w:p>
    <w:p>
      <w:pPr>
        <w:spacing w:after="160" w:line="276"/>
      </w:pPr>
      <w:r>
        <w:rPr>
          <w:i/>
          <w:iCs/>
          <w:color w:val="595959"/>
          <w:sz w:val="18"/>
          <w:szCs w:val="18"/>
        </w:rPr>
        <w:t xml:space="preserve">Ao abrir no Microsoft Word, clique com o botão direito sobre o sumário abaixo e selecione “Atualizar campo” (ou F9) para gerar automaticamente a lista de seções.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Visão Geral do Plano</w:t>
      </w:r>
    </w:p>
    <w:p>
      <w:pPr>
        <w:pStyle w:val="Heading2"/>
      </w:pPr>
      <w:r>
        <w:t xml:space="preserve">1.1 Premissas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Equipe inicial sugerida: 1 Tech Lead, 2 a 3 Backend Sêniores (com 1 com experiência fiscal), 1 a 2 Frontend Sêniores, 1 DevOps/SRE, 1 QA Sênior, 1 Especialista Fiscal/Contábil (parcial, validação).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Sprints quinzenais (10 dias úteis); velocidade estimada inicial de 35 a 45 pontos por sprint do time backend e 25 a 35 do frontend, calibrada após a Sprint 2.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Fase 0 e Fase 1 (MVP) entregues dentro do ano-teste de 2026 — esse é o gatilho não-negociável do cronograma.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Fases 2 a 4 têm escopo detalhado mas estimativas referenciais; serão re-planejadas a cada início de fase com base em aprendizados.</w:t>
      </w:r>
    </w:p>
    <w:p>
      <w:pPr>
        <w:pStyle w:val="Heading2"/>
      </w:pPr>
      <w:r>
        <w:t xml:space="preserve">1.2 Stack tecnológica consolidada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52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Camada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Tecnologia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Justificativa de escolha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Runtime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Node.js LTS (22.x)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Maturidade, ecossistema, performance adequada a APIs fiscais; LTS garante 30 meses de suporte.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Linguagem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TypeScript 5.x (strict)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Type-safety essencial para tributação; refactoring seguro em base de código grande.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API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Express 5.x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Estável, amplamente conhecido, integra com tsyringe e padrões de middleware bem documentados.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ORM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TypeORM 0.3+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Entidades com decorators encaixam naturalmente em Clean Architecture; migrations versionadas; suporte robusto a Postgres.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Banco de dados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PostgreSQL 16+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ACID, Decimal nativo de precisão arbitrária, JSON, particionamento — todos críticos para uso fiscal.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Injeção de dependência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tsyringe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DI leve, decorator-based, integra com TypeORM via custom providers.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React 19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Server Components, melhor DX, ecossistema maduro; equipe com experiência.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Build / Bundle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Vite (frontend) · tsc + tsx (backend)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Velocidade de feedback no dev, build determinístico em produção.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Validação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Zod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Type-safe end-to-end; mesma lib no front e no back.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Testes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Vitest (unit) · Supertest (HTTP) · Playwright (E2E)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Stack consistente, rápida, com cobertura por camada.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Filas e jobs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BullMQ + Redis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Processamento assíncrono de emissão, distribuição DF-e, webhooks — requisito do PRD (INT-04, ENT-02).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Observabilidade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OpenTelemetry + Grafana stack (Loki, Tempo, Prometheus)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Logs estruturados, métricas, tracing — padrão aberto, sem vendor lock-in.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XML (entrada/saída fiscal)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fast-xml-parser (parsing) · xmlbuilder2 (composição)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Performance e correção; suportam canonicalização C14N necessária para assinatura XML-DSig.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Assinatura XML-DSig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xml-crypto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Lib estabelecida para assinatura de NF-e em Node; requer cuidados de canonicalização documentados nas tarefas.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PDF (DANFE/relatórios)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@react-pdf/renderer (DANFE) · pdfkit (relatórios)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React-PDF para layouts complexos com componentização; PDFKit para relatórios programáticos.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Cofre de segredos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HashiCorp Vault (preferencial) ou AWS Secrets Manager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Custódia de certificados A1/A3 e tokens — requisito de segurança (SEF-03/04, RNF-10).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CI/CD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GitHub Actions + Docker + Terraform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Pipeline reproduzível; infraestrutura como código.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Container/Deploy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Docker + Kubernetes (ou ECS como alternativa)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Escalabilidade horizontal de workers; ambientes segregados.</w:t>
            </w:r>
          </w:p>
        </w:tc>
      </w:tr>
    </w:tbl>
    <w:p>
      <w:pPr>
        <w:pStyle w:val="Heading2"/>
      </w:pPr>
      <w:r>
        <w:t xml:space="preserve">1.3 Princípios arquiteturais aplicados</w:t>
      </w:r>
    </w:p>
    <w:p>
      <w:pPr>
        <w:spacing w:after="120" w:line="276"/>
      </w:pPr>
      <w:r>
        <w:t xml:space="preserve">Clean Architecture com quatro camadas, isolamento estrito de dependências (a camada interna não conhece a externa), e tsyringe para resolução de dependências em runtime: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60"/>
        <w:gridCol w:w="35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Camada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Responsabilidade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Exemplos no projeto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Domain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Entidades de negócio, regras puras, interfaces de repositório. Sem nenhuma dependência externa.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NFe (agregado), MotorTributario (serviço de domínio), INFeRepository (porta).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Application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Use cases que orquestram o domínio. Recebem entrada validada, produzem saída.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EmitirNFeUseCase, ImportarXmlEntradaUseCase, FecharMesUseCase.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Infrastructure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Implementações concretas: TypeORM, integração SEFAZ/Focus, filas, cofre, e-mail.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TypeOrmNFeRepository, SefazSoapClient, FocusNfeHttpClient.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Presentation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Express controllers, middlewares, validação Zod, mapeamento HTTP.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NFeController, requireAuth(), tenantContext().</w:t>
            </w:r>
          </w:p>
        </w:tc>
      </w:tr>
    </w:tbl>
    <w:p>
      <w:pPr>
        <w:spacing w:after="120" w:line="276"/>
      </w:pPr>
      <w:r>
        <w:t xml:space="preserve">Regras SOLID aplicadas: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SRP — cada use case tem uma responsabilidade única e nome no infinitivo (EmitirNFe, CancelarNFe, ManifestarDestinatario).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OCP — motor tributário extensível por estratégia (CalculadoraIcmsProprio, CalculadoraDifal, CalculadoraIbsCbs); adicionar tributo novo é nova classe, não edição de existente.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LSP — repositórios derivados respeitam o contrato da interface base; mocks em testes são intercambiáveis.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ISP — interfaces pequenas e específicas (INFeReader, INFeWriter separados) em vez de uma INFeRepository monolítica.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DIP — domain depende de abstrações (ICertificateVault), não de Vault concreto; tsyringe resolve em runtime.</w:t>
      </w:r>
    </w:p>
    <w:p>
      <w:pPr>
        <w:pStyle w:val="Heading2"/>
      </w:pPr>
      <w:r>
        <w:t xml:space="preserve">1.4 Estrutura de pastas alvo</w:t>
      </w:r>
    </w:p>
    <w:p>
      <w:pPr>
        <w:spacing w:after="120" w:line="276"/>
      </w:pPr>
      <w:r>
        <w:t xml:space="preserve">Backend (monorepo opcional, mas raiz dedicada para o backend):</w:t>
      </w:r>
    </w:p>
    <w:p>
      <w:pPr>
        <w:spacing w:after="200" w:line="276"/>
      </w:pPr>
      <w:r>
        <w:rPr>
          <w:rFonts w:ascii="Consolas" w:cs="Consolas" w:eastAsia="Consolas" w:hAnsi="Consolas"/>
          <w:sz w:val="18"/>
          <w:szCs w:val="18"/>
        </w:rPr>
        <w:t xml:space="preserve">src/
</w:t>
      </w:r>
      <w:r>
        <w:rPr>
          <w:rFonts w:ascii="Consolas" w:cs="Consolas" w:eastAsia="Consolas" w:hAnsi="Consolas"/>
          <w:sz w:val="18"/>
          <w:szCs w:val="18"/>
        </w:rPr>
        <w:t xml:space="preserve">  domain/
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    entities/                   — entidades puras (NFe, NFeItem, Cliente, …)
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    value-objects/              — CNPJ, ChaveAcesso, Decimal monetário
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    repositories/               — interfaces (INFeRepository, …)
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    services/                   — serviços de domínio (MotorTributario)
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    errors/                     — erros de domínio tipados
</w:t>
      </w:r>
      <w:r>
        <w:rPr>
          <w:rFonts w:ascii="Consolas" w:cs="Consolas" w:eastAsia="Consolas" w:hAnsi="Consolas"/>
          <w:sz w:val="18"/>
          <w:szCs w:val="18"/>
        </w:rPr>
        <w:t xml:space="preserve">  application/
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    use-cases/                  — um arquivo por use case
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    dtos/                       — DTOs de entrada/saída dos use cases
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    ports/                      — interfaces de adaptadores externos
</w:t>
      </w:r>
      <w:r>
        <w:rPr>
          <w:rFonts w:ascii="Consolas" w:cs="Consolas" w:eastAsia="Consolas" w:hAnsi="Consolas"/>
          <w:sz w:val="18"/>
          <w:szCs w:val="18"/>
        </w:rPr>
        <w:t xml:space="preserve">  infrastructure/
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    database/typeorm/           — entidades TypeORM, migrations, repositórios
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    sefaz/                      — cliente SOAP SEFAZ, assinatura, contingência
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    focus-nfe/                  — cliente REST Focus, webhook receiver
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    queues/                     — BullMQ workers e producers
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    vault/                      — adapter de cofre de segredos
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    pdf/                        — gerador de DANFE/DANFSe/relatórios
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    xml/                        — parser e composer de XML fiscal
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    container/                  — registro de DI (tsyringe)
</w:t>
      </w:r>
      <w:r>
        <w:rPr>
          <w:rFonts w:ascii="Consolas" w:cs="Consolas" w:eastAsia="Consolas" w:hAnsi="Consolas"/>
          <w:sz w:val="18"/>
          <w:szCs w:val="18"/>
        </w:rPr>
        <w:t xml:space="preserve">  presentation/
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    http/
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      controllers/              — controllers Express
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      middlewares/              — auth, tenant context, error handler
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      routes/                   — definição de rotas
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      validators/               — schemas Zod
</w:t>
      </w:r>
      <w:r>
        <w:rPr>
          <w:rFonts w:ascii="Consolas" w:cs="Consolas" w:eastAsia="Consolas" w:hAnsi="Consolas"/>
          <w:sz w:val="18"/>
          <w:szCs w:val="18"/>
        </w:rPr>
        <w:t xml:space="preserve">  shared/                       — utils, tipos compartilhados, constants
</w:t>
      </w:r>
      <w:r>
        <w:rPr>
          <w:rFonts w:ascii="Consolas" w:cs="Consolas" w:eastAsia="Consolas" w:hAnsi="Consolas"/>
          <w:sz w:val="18"/>
          <w:szCs w:val="18"/>
        </w:rPr>
        <w:t xml:space="preserve">  index.ts                      — bootstrap da aplicação
</w:t>
      </w:r>
      <w:r>
        <w:rPr>
          <w:rFonts w:ascii="Consolas" w:cs="Consolas" w:eastAsia="Consolas" w:hAnsi="Consolas"/>
          <w:sz w:val="18"/>
          <w:szCs w:val="18"/>
        </w:rPr>
        <w:t xml:space="preserve">tests/                          — unit, integration, e2e
</w:t>
      </w:r>
    </w:p>
    <w:p>
      <w:pPr>
        <w:pStyle w:val="Heading2"/>
      </w:pPr>
      <w:r>
        <w:t xml:space="preserve">1.5 Governança e Definition of Done</w:t>
      </w:r>
    </w:p>
    <w:p>
      <w:pPr>
        <w:spacing w:after="120" w:line="276"/>
      </w:pPr>
      <w:r>
        <w:t xml:space="preserve">Definition of Done (aplica-se a TODA tarefa antes de ser marcada concluída):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Código revisado por outro engenheiro (PR aprovado com pelo menos 1 reviewer).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Testes unitários cobrindo o caminho feliz e os principais desvios; cobertura mínima de 80% nos arquivos novos.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Testes de integração nas tarefas marcadas com (I); E2E nas marcadas com (E2E).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Lint, formatação e type-check passando no CI sem warnings novos.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Documentação técnica atualizada quando aplicável (README, ADR, swagger/OpenAPI).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Critérios de aceitação verificáveis pelo QA — sem 'funciona na minha máquina'.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Quando envolve fiscal: validação do especialista fiscal/contábil antes do merge.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Logs estruturados, métricas e tracing onde a operação cruza limites de processo (DB, HTTP, fila).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Variáveis sensíveis NUNCA hard-coded; usar cofre de segredos.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Migration TypeORM gerada e revisada; rollback testado em ambiente de homologação.</w:t>
      </w:r>
    </w:p>
    <w:p>
      <w:pPr>
        <w:pStyle w:val="Heading2"/>
      </w:pPr>
      <w:r>
        <w:t xml:space="preserve">1.6 Convenções de identificação</w:t>
      </w:r>
    </w:p>
    <w:p>
      <w:pPr>
        <w:spacing w:after="120" w:line="276"/>
      </w:pPr>
      <w:r>
        <w:rPr>
          <w:b/>
          <w:bCs/>
        </w:rPr>
        <w:t xml:space="preserve">Épicos: </w:t>
      </w:r>
      <w:r>
        <w:t xml:space="preserve">EP-XX (ex.: EP-01 Fundação Backend).</w:t>
      </w:r>
    </w:p>
    <w:p>
      <w:pPr>
        <w:spacing w:after="120" w:line="276"/>
      </w:pPr>
      <w:r>
        <w:rPr>
          <w:b/>
          <w:bCs/>
        </w:rPr>
        <w:t xml:space="preserve">Tarefas: </w:t>
      </w:r>
      <w:r>
        <w:t xml:space="preserve">TSK-XXX (numeração sequencial, estável, não reordenada).</w:t>
      </w:r>
    </w:p>
    <w:p>
      <w:pPr>
        <w:spacing w:after="120" w:line="276"/>
      </w:pPr>
      <w:r>
        <w:rPr>
          <w:b/>
          <w:bCs/>
        </w:rPr>
        <w:t xml:space="preserve">Estimativas: </w:t>
      </w:r>
      <w:r>
        <w:t xml:space="preserve">Fibonacci truncado (1, 2, 3, 5, 8, 13). Acima de 8, quebrar no refinamento.</w:t>
      </w:r>
    </w:p>
    <w:p>
      <w:pPr>
        <w:spacing w:after="120" w:line="276"/>
      </w:pPr>
      <w:r>
        <w:rPr>
          <w:b/>
          <w:bCs/>
        </w:rPr>
        <w:t xml:space="preserve">Marcadores: </w:t>
      </w:r>
      <w:r>
        <w:t xml:space="preserve">(B) bloqueante para outras tarefas · (I) requer testes de integração · (E2E) requer teste end-to-end · (F) tarefa fiscal/contábil sensível, exige validação de especialista.</w:t>
      </w:r>
    </w:p>
    <w:p>
      <w:pPr>
        <w:pStyle w:val="Heading2"/>
      </w:pPr>
      <w:r>
        <w:t xml:space="preserve">1.7 Resumo executivo de esforço</w:t>
      </w:r>
    </w:p>
    <w:p>
      <w:pPr>
        <w:spacing w:after="120" w:line="276"/>
      </w:pPr>
      <w:r>
        <w:t xml:space="preserve">Estimativas-síntese por fase. Pontos brutos; ainda não considera férias, dependências externas (SEFAZ, Focus) ou refinamento. Use como ordem de grandeza, não como contrato.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60"/>
        <w:gridCol w:w="1500"/>
        <w:gridCol w:w="1500"/>
        <w:gridCol w:w="190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Foco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Pontos estimados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Sprints aprox.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Bloco de execução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Fase 0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Fundamentos: arquitetura, DI, RBAC, multiempresa, cadastros base, motor tributário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180–220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5 a 7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2026 — 1º trimestre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Fase 1a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Núcleo SEFAZ: NF-e modelo 55 emitida direto, assinatura, contingência, certificado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240–290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7 a 9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2026 — 2º trimestre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Fase 1b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Recepção SEFAZ + NFS-e Focus + manifestação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150–180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4 a 6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2026 — 3º trimestre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Fase 1c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MVP completo: relatórios fiscais, apuração assistida, ano-teste 2026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110–140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3 a 5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2026 — 4º trimestre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Fase 2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Comercial e Financeiro: vendas, compras, AR/AP, fluxo de caixa, ECONF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200–250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6 a 8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2027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Fase 3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Migração do legado: ETL, operação paralela, corte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120–160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4 a 5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2027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Fase 4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Conformidade 2027+: CBS plena, IS, split payment, ampliação a Simples/MEI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180–220 (ano)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Recorrente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2027–2033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TOTAL MVP (Fases 0+1a+1b+1c)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680–830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19 a 27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2026</w:t>
            </w:r>
          </w:p>
        </w:tc>
      </w:tr>
    </w:tbl>
    <w:p>
      <w:pPr>
        <w:pStyle w:val="Heading2"/>
      </w:pPr>
      <w:r>
        <w:t xml:space="preserve">1.8 Riscos transversais ao plano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Risco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Mitigação no plano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Equipe sem experiência prévia em assinatura XML-DSig e canonicalização C14N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Tarefas TSK-100 e TSK-101 dedicadas, com revisão de especialista fiscal. Considerar treinamento ou consultoria pontual no início da Fase 1a.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Mudanças de Notas Técnicas durante o desenvolvimento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Motor tributário versionado por vigência (TSK-074 a TSK-082); processo formal de atualização (TSK-310).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Indisponibilidade prolongada de SEFAZ em homologação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Contingência EPEC/SVC implementada cedo (TSK-115); fixtures de XML para testes offline.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Escopo da Reforma sofrer mudanças regulatórias significativas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Tarefas de conformidade isoladas em épicos próprios (EP-23 e EP-27); cláusula contratual de re-planejamento por evento regulatório.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Migração do legado Paradox revelar inconsistências de dados não previstas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Fase 3 reserva 30% do orçamento para saneamento; rollback testado.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Saída de pessoas-chave (especialmente fiscal sênior)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Documentação obrigatória em ADRs; pair programming nas tarefas marcadas (F); base de conhecimento de rejeições.</w:t>
            </w:r>
          </w:p>
        </w:tc>
      </w:tr>
    </w:tbl>
    <w:p>
      <w:pPr>
        <w:pStyle w:val="Heading1"/>
        <w:pageBreakBefore/>
      </w:pPr>
      <w:r>
        <w:t xml:space="preserve">2. Fase 0 — Fundamentos</w:t>
      </w:r>
    </w:p>
    <w:p>
      <w:pPr>
        <w:spacing w:after="120" w:line="276"/>
      </w:pPr>
      <w:r>
        <w:t xml:space="preserve">Estabelece a base técnica do produto: arquitetura, infraestrutura, autenticação, multiempresa, cadastros e motor tributário parametrizável. Sem essa base, nenhum módulo fiscal pode ser construído. É a fase de maior risco arquitetural — decisões aqui ecoam por todas as outras.</w:t>
      </w:r>
    </w:p>
    <w:p>
      <w:pPr>
        <w:spacing w:after="120" w:line="276"/>
      </w:pPr>
      <w:r>
        <w:rPr>
          <w:b/>
          <w:bCs/>
        </w:rPr>
        <w:t xml:space="preserve">Critério de saída da fase: </w:t>
      </w:r>
      <w:r>
        <w:t xml:space="preserve">é possível autenticar um usuário, criar uma empresa com flags tributárias, cadastrar produto/cliente/serviço, e o motor tributário consegue calcular tributos para uma operação simples (intraestadual, sem ST, sem DIFAL). Não há emissão fiscal real ainda — isso é Fase 1a.</w:t>
      </w:r>
    </w:p>
    <w:p>
      <w:pPr>
        <w:pStyle w:val="Heading2"/>
        <w:spacing w:after="100" w:before="320"/>
      </w:pPr>
      <w:r>
        <w:t xml:space="preserve">EP-01 — Fundação Backend e Arquitetura</w:t>
      </w:r>
    </w:p>
    <w:p>
      <w:pPr>
        <w:spacing w:after="120" w:line="276"/>
      </w:pPr>
      <w:r>
        <w:rPr>
          <w:b/>
          <w:bCs/>
        </w:rPr>
        <w:t xml:space="preserve">Resumo. </w:t>
      </w:r>
      <w:r>
        <w:t xml:space="preserve">Inicialização do projeto Node/TypeScript com Clean Architecture, tsyringe, TypeORM e infraestrutura de qualidade.</w:t>
      </w: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Conteúdo: 10 tarefas · Total: 25 pontos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TSK-001  ·  2 pts · B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Inicializar projeto backend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Criar projeto Node.js + TypeScript com configuração strict, scripts padrão e estrutura mínima de pastas conforme Clean Architecture definida em 1.4.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npm init + tsconfig.json com strict, noImplicitAny, exactOptionalPropertyTypes</w:t>
            </w:r>
            <w:r>
              <w:rPr>
                <w:sz w:val="20"/>
                <w:szCs w:val="20"/>
              </w:rPr>
              <w:t xml:space="preserve">
• Instalar express@5, reflect-metadata, tsyringe, typeorm, pg, zod</w:t>
            </w:r>
            <w:r>
              <w:rPr>
                <w:sz w:val="20"/>
                <w:szCs w:val="20"/>
              </w:rPr>
              <w:t xml:space="preserve">
• Instalar devDeps: typescript, tsx, vitest, eslint, prettier, @types/*</w:t>
            </w:r>
            <w:r>
              <w:rPr>
                <w:sz w:val="20"/>
                <w:szCs w:val="20"/>
              </w:rPr>
              <w:t xml:space="preserve">
• Configurar scripts: dev, build, start, test, lint, format, type-check</w:t>
            </w:r>
            <w:r>
              <w:rPr>
                <w:sz w:val="20"/>
                <w:szCs w:val="20"/>
              </w:rPr>
              <w:t xml:space="preserve">
• Criar estrutura de pastas: domain, application, infrastructure, presentation, shared</w:t>
            </w:r>
            <w:r>
              <w:rPr>
                <w:sz w:val="20"/>
                <w:szCs w:val="20"/>
              </w:rPr>
              <w:t xml:space="preserve">
• Criar .editorconfig, .nvmrc (Node LTS), .gitignore, README inicial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npm run dev sobe servidor Express respondendo /health com 200 OK</w:t>
            </w:r>
            <w:r>
              <w:rPr>
                <w:sz w:val="20"/>
                <w:szCs w:val="20"/>
              </w:rPr>
              <w:t xml:space="preserve">
2. npm run type-check passa sem erros</w:t>
            </w:r>
            <w:r>
              <w:rPr>
                <w:sz w:val="20"/>
                <w:szCs w:val="20"/>
              </w:rPr>
              <w:t xml:space="preserve">
3. npm run lint passa sem warnings</w:t>
            </w:r>
            <w:r>
              <w:rPr>
                <w:sz w:val="20"/>
                <w:szCs w:val="20"/>
              </w:rPr>
              <w:t xml:space="preserve">
4. Estrutura de pastas reflete exatamente a Seção 1.4 do plano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TSK-002  ·  3 pts · B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Configurar tsyringe e container de DI raiz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Habilitar reflect-metadata, criar container central, definir tokens de injeção e padrão de registro de dependências.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Importar reflect-metadata como primeiro import em index.ts</w:t>
            </w:r>
            <w:r>
              <w:rPr>
                <w:sz w:val="20"/>
                <w:szCs w:val="20"/>
              </w:rPr>
              <w:t xml:space="preserve">
• Criar src/infrastructure/container/index.ts com função registerDependencies()</w:t>
            </w:r>
            <w:r>
              <w:rPr>
                <w:sz w:val="20"/>
                <w:szCs w:val="20"/>
              </w:rPr>
              <w:t xml:space="preserve">
• Definir tokens via Symbol nomeado em src/shared/tokens.ts</w:t>
            </w:r>
            <w:r>
              <w:rPr>
                <w:sz w:val="20"/>
                <w:szCs w:val="20"/>
              </w:rPr>
              <w:t xml:space="preserve">
• Implementar decorator @injectable() exemplo em uma classe stub</w:t>
            </w:r>
            <w:r>
              <w:rPr>
                <w:sz w:val="20"/>
                <w:szCs w:val="20"/>
              </w:rPr>
              <w:t xml:space="preserve">
• Documentar padrão de registro: interface no domain, classe em infrastructure</w:t>
            </w:r>
            <w:r>
              <w:rPr>
                <w:sz w:val="20"/>
                <w:szCs w:val="20"/>
              </w:rPr>
              <w:t xml:space="preserve">
• ADR-001: 'Por que tsyringe e como registramos dependências'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Container resolve uma classe de exemplo (StubService) via container.resolve</w:t>
            </w:r>
            <w:r>
              <w:rPr>
                <w:sz w:val="20"/>
                <w:szCs w:val="20"/>
              </w:rPr>
              <w:t xml:space="preserve">
2. Teste unitário valida resolução por token</w:t>
            </w:r>
            <w:r>
              <w:rPr>
                <w:sz w:val="20"/>
                <w:szCs w:val="20"/>
              </w:rPr>
              <w:t xml:space="preserve">
3. ADR-001 commitada em docs/adr/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TSK-001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TSK-003  ·  3 pts · B I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Configurar TypeORM e DataSource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Inicializar TypeORM com DataSource configurado por env, suporte a migrations e integração com tsyringe via custom provider.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Criar src/infrastructure/database/typeorm/data-source.ts com configuração baseada em env</w:t>
            </w:r>
            <w:r>
              <w:rPr>
                <w:sz w:val="20"/>
                <w:szCs w:val="20"/>
              </w:rPr>
              <w:t xml:space="preserve">
• Configurar migrationsTableName, entities glob, migrations glob</w:t>
            </w:r>
            <w:r>
              <w:rPr>
                <w:sz w:val="20"/>
                <w:szCs w:val="20"/>
              </w:rPr>
              <w:t xml:space="preserve">
• Scripts npm: typeorm:migration:generate, :run, :revert, :show</w:t>
            </w:r>
            <w:r>
              <w:rPr>
                <w:sz w:val="20"/>
                <w:szCs w:val="20"/>
              </w:rPr>
              <w:t xml:space="preserve">
• Provider tsyringe para DataSource (singleton, inicializado no bootstrap)</w:t>
            </w:r>
            <w:r>
              <w:rPr>
                <w:sz w:val="20"/>
                <w:szCs w:val="20"/>
              </w:rPr>
              <w:t xml:space="preserve">
• Connection pool configurado (min 2, max 10 — ajustável por env)</w:t>
            </w:r>
            <w:r>
              <w:rPr>
                <w:sz w:val="20"/>
                <w:szCs w:val="20"/>
              </w:rPr>
              <w:t xml:space="preserve">
• ADR-002: 'TypeORM + Clean Architecture: padrão Repository'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Aplicação conecta no Postgres local via docker-compose</w:t>
            </w:r>
            <w:r>
              <w:rPr>
                <w:sz w:val="20"/>
                <w:szCs w:val="20"/>
              </w:rPr>
              <w:t xml:space="preserve">
2. npm run typeorm:migration:show retorna sem erro</w:t>
            </w:r>
            <w:r>
              <w:rPr>
                <w:sz w:val="20"/>
                <w:szCs w:val="20"/>
              </w:rPr>
              <w:t xml:space="preserve">
3. Teste de integração: criar tabela via migration, ler com DataSource, dropar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TSK-002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TSK-004  ·  3 pts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Padronizar tratamento de erros e response envelope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Criar hierarquia de erros de domínio, middleware Express global e envelope de resposta consistente.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Classe base DomainError com code (string), statusCode, message, details opcional</w:t>
            </w:r>
            <w:r>
              <w:rPr>
                <w:sz w:val="20"/>
                <w:szCs w:val="20"/>
              </w:rPr>
              <w:t xml:space="preserve">
• Subclasses: NotFoundError, ValidationError, BusinessRuleError, IntegrationError, AuthError</w:t>
            </w:r>
            <w:r>
              <w:rPr>
                <w:sz w:val="20"/>
                <w:szCs w:val="20"/>
              </w:rPr>
              <w:t xml:space="preserve">
• Middleware errorHandler em presentation/http/middlewares mapeando para HTTP</w:t>
            </w:r>
            <w:r>
              <w:rPr>
                <w:sz w:val="20"/>
                <w:szCs w:val="20"/>
              </w:rPr>
              <w:t xml:space="preserve">
• Envelope JSON: { data | error: { code, message, details? }, requestId }</w:t>
            </w:r>
            <w:r>
              <w:rPr>
                <w:sz w:val="20"/>
                <w:szCs w:val="20"/>
              </w:rPr>
              <w:t xml:space="preserve">
• Erros não mapeados retornam 500 com requestId logado (sem stack ao cliente em prod)</w:t>
            </w:r>
            <w:r>
              <w:rPr>
                <w:sz w:val="20"/>
                <w:szCs w:val="20"/>
              </w:rPr>
              <w:t xml:space="preserve">
• Sentry/equivalente plugado opcionalmente via env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Lançar NotFoundError em rota de teste retorna 404 com envelope correto</w:t>
            </w:r>
            <w:r>
              <w:rPr>
                <w:sz w:val="20"/>
                <w:szCs w:val="20"/>
              </w:rPr>
              <w:t xml:space="preserve">
2. Lançar Error genérico retorna 500 com requestId; stack só aparece em NODE_ENV=development</w:t>
            </w:r>
            <w:r>
              <w:rPr>
                <w:sz w:val="20"/>
                <w:szCs w:val="20"/>
              </w:rPr>
              <w:t xml:space="preserve">
3. Testes unitários cobrem o mapeamento de cada classe de erro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TSK-001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TSK-005  ·  2 pts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Configurar logger estruturado e correlação por requestId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Logger Pino estruturado com requestId propagado por AsyncLocalStorage e middleware Express.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Instalar pino e pino-pretty (dev)</w:t>
            </w:r>
            <w:r>
              <w:rPr>
                <w:sz w:val="20"/>
                <w:szCs w:val="20"/>
              </w:rPr>
              <w:t xml:space="preserve">
• Criar Logger interface no domain; implementação PinoLogger em infrastructure</w:t>
            </w:r>
            <w:r>
              <w:rPr>
                <w:sz w:val="20"/>
                <w:szCs w:val="20"/>
              </w:rPr>
              <w:t xml:space="preserve">
• Middleware requestId gera UUID v7 por requisição e armazena em AsyncLocalStorage</w:t>
            </w:r>
            <w:r>
              <w:rPr>
                <w:sz w:val="20"/>
                <w:szCs w:val="20"/>
              </w:rPr>
              <w:t xml:space="preserve">
• Helper getRequestId() acessível em qualquer camada</w:t>
            </w:r>
            <w:r>
              <w:rPr>
                <w:sz w:val="20"/>
                <w:szCs w:val="20"/>
              </w:rPr>
              <w:t xml:space="preserve">
• Logs sempre incluem requestId, userId (se autenticado), tenantId, companyId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Requisição HTTP gera log com requestId; chamada interna no mesmo request reusa o mesmo ID</w:t>
            </w:r>
            <w:r>
              <w:rPr>
                <w:sz w:val="20"/>
                <w:szCs w:val="20"/>
              </w:rPr>
              <w:t xml:space="preserve">
2. Logger é injetável via tsyringe (token Symbol)</w:t>
            </w:r>
            <w:r>
              <w:rPr>
                <w:sz w:val="20"/>
                <w:szCs w:val="20"/>
              </w:rPr>
              <w:t xml:space="preserve">
3. Logs em produção saem em JSON; em dev, formato legível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TSK-002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TSK-006  ·  2 pts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Configurar validação com Zod e middleware de validação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Padrão de validação Zod para inputs HTTP, com middleware genérico e conversão de erros para ValidationError.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Helper validateRequest({ body, query, params }) retorna middleware</w:t>
            </w:r>
            <w:r>
              <w:rPr>
                <w:sz w:val="20"/>
                <w:szCs w:val="20"/>
              </w:rPr>
              <w:t xml:space="preserve">
• Schemas Zod ficam em presentation/http/validators/ por recurso</w:t>
            </w:r>
            <w:r>
              <w:rPr>
                <w:sz w:val="20"/>
                <w:szCs w:val="20"/>
              </w:rPr>
              <w:t xml:space="preserve">
• Erros Zod são convertidos em ValidationError com details estruturado</w:t>
            </w:r>
            <w:r>
              <w:rPr>
                <w:sz w:val="20"/>
                <w:szCs w:val="20"/>
              </w:rPr>
              <w:t xml:space="preserve">
• Tipos de input dos controllers derivados via z.infer&lt;typeof schema&gt;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Rota de teste valida body, retorna 422 com lista de erros campo a campo se inválido</w:t>
            </w:r>
            <w:r>
              <w:rPr>
                <w:sz w:val="20"/>
                <w:szCs w:val="20"/>
              </w:rPr>
              <w:t xml:space="preserve">
2. Type-check garante que o controller recebe tipos derivados do schema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TSK-004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TSK-007  ·  2 pts · B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Configurar Vitest e estratégia de testes por camada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Setup completo de testes unitários, integração e fixtures, com isolamento por camada.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vitest.config.ts com paths aliases, coverage v8, threshold 80% para src/</w:t>
            </w:r>
            <w:r>
              <w:rPr>
                <w:sz w:val="20"/>
                <w:szCs w:val="20"/>
              </w:rPr>
              <w:t xml:space="preserve">
• Separação: tests/unit, tests/integration, tests/e2e com setups distintos</w:t>
            </w:r>
            <w:r>
              <w:rPr>
                <w:sz w:val="20"/>
                <w:szCs w:val="20"/>
              </w:rPr>
              <w:t xml:space="preserve">
• Helper buildContainer() para testes que precisam de DI customizado</w:t>
            </w:r>
            <w:r>
              <w:rPr>
                <w:sz w:val="20"/>
                <w:szCs w:val="20"/>
              </w:rPr>
              <w:t xml:space="preserve">
• Banco de testes via testcontainers ou Postgres dedicado em CI</w:t>
            </w:r>
            <w:r>
              <w:rPr>
                <w:sz w:val="20"/>
                <w:szCs w:val="20"/>
              </w:rPr>
              <w:t xml:space="preserve">
• Padrão de Test Data Builder em tests/builders/ para entidades de domínio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npm test executa unit + integration; coverage report gerado</w:t>
            </w:r>
            <w:r>
              <w:rPr>
                <w:sz w:val="20"/>
                <w:szCs w:val="20"/>
              </w:rPr>
              <w:t xml:space="preserve">
2. Teste exemplo passa em cada camada (1 unit + 1 integration)</w:t>
            </w:r>
            <w:r>
              <w:rPr>
                <w:sz w:val="20"/>
                <w:szCs w:val="20"/>
              </w:rPr>
              <w:t xml:space="preserve">
3. CI quebra build se cobertura &lt; 80% nos arquivos modificados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TSK-003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TSK-008  ·  2 pts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Configurar Docker Compose para desenvolvimento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docker-compose.yml com Postgres, Redis e dependências locais necessárias.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Postgres 16 com volume nomeado, healthcheck</w:t>
            </w:r>
            <w:r>
              <w:rPr>
                <w:sz w:val="20"/>
                <w:szCs w:val="20"/>
              </w:rPr>
              <w:t xml:space="preserve">
• Redis 7 (para BullMQ na Fase 1)</w:t>
            </w:r>
            <w:r>
              <w:rPr>
                <w:sz w:val="20"/>
                <w:szCs w:val="20"/>
              </w:rPr>
              <w:t xml:space="preserve">
• Adminer ou pgAdmin para inspeção (opcional)</w:t>
            </w:r>
            <w:r>
              <w:rPr>
                <w:sz w:val="20"/>
                <w:szCs w:val="20"/>
              </w:rPr>
              <w:t xml:space="preserve">
• Script make/npm para reset completo do ambiente</w:t>
            </w:r>
            <w:r>
              <w:rPr>
                <w:sz w:val="20"/>
                <w:szCs w:val="20"/>
              </w:rPr>
              <w:t xml:space="preserve">
• .env.example com todas as variáveis documentadas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docker-compose up sobe todos os serviços e a app conecta sem erro</w:t>
            </w:r>
            <w:r>
              <w:rPr>
                <w:sz w:val="20"/>
                <w:szCs w:val="20"/>
              </w:rPr>
              <w:t xml:space="preserve">
2. Reset (down -v &amp;&amp; up) deixa ambiente em estado limpo conhecido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TSK-009  ·  3 pts · B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Pipeline CI inicial (GitHub Actions)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CI executa lint, type-check, build, testes e gera artefato Docker em cada PR e push para main.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Job de checks (lint + type-check + test) com cache de node_modules</w:t>
            </w:r>
            <w:r>
              <w:rPr>
                <w:sz w:val="20"/>
                <w:szCs w:val="20"/>
              </w:rPr>
              <w:t xml:space="preserve">
• Job de build da imagem Docker em paralelo</w:t>
            </w:r>
            <w:r>
              <w:rPr>
                <w:sz w:val="20"/>
                <w:szCs w:val="20"/>
              </w:rPr>
              <w:t xml:space="preserve">
• Postgres e Redis como services no job de integration</w:t>
            </w:r>
            <w:r>
              <w:rPr>
                <w:sz w:val="20"/>
                <w:szCs w:val="20"/>
              </w:rPr>
              <w:t xml:space="preserve">
• Coverage upload (Codecov ou equivalente)</w:t>
            </w:r>
            <w:r>
              <w:rPr>
                <w:sz w:val="20"/>
                <w:szCs w:val="20"/>
              </w:rPr>
              <w:t xml:space="preserve">
• Status checks obrigatórios na branch protection do main</w:t>
            </w:r>
            <w:r>
              <w:rPr>
                <w:sz w:val="20"/>
                <w:szCs w:val="20"/>
              </w:rPr>
              <w:t xml:space="preserve">
• Build de produção tagueado com SHA do commit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PR de exemplo dispara CI e todos os jobs passam</w:t>
            </w:r>
            <w:r>
              <w:rPr>
                <w:sz w:val="20"/>
                <w:szCs w:val="20"/>
              </w:rPr>
              <w:t xml:space="preserve">
2. Tentar mergear com check falhando é bloqueado pela branch protection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TSK-007, TSK-008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TSK-010  ·  3 pts · B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Bootstrap React 19 + Vite + estrutura inicial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Frontend separado (apps/web) com React 19, Vite, TanStack Query, TanStack Router, shadcn/ui e padrão de feature folders.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Vite + TypeScript strict + ESLint + Prettier alinhados ao backend</w:t>
            </w:r>
            <w:r>
              <w:rPr>
                <w:sz w:val="20"/>
                <w:szCs w:val="20"/>
              </w:rPr>
              <w:t xml:space="preserve">
• TanStack Router com route tree gerada</w:t>
            </w:r>
            <w:r>
              <w:rPr>
                <w:sz w:val="20"/>
                <w:szCs w:val="20"/>
              </w:rPr>
              <w:t xml:space="preserve">
• TanStack Query com QueryClient e devtools</w:t>
            </w:r>
            <w:r>
              <w:rPr>
                <w:sz w:val="20"/>
                <w:szCs w:val="20"/>
              </w:rPr>
              <w:t xml:space="preserve">
• shadcn/ui inicializado com tokens de cor neutros (definir paleta na Fase 1)</w:t>
            </w:r>
            <w:r>
              <w:rPr>
                <w:sz w:val="20"/>
                <w:szCs w:val="20"/>
              </w:rPr>
              <w:t xml:space="preserve">
• Estrutura: src/features/&lt;feature&gt;/{components,hooks,api,types}, src/shared</w:t>
            </w:r>
            <w:r>
              <w:rPr>
                <w:sz w:val="20"/>
                <w:szCs w:val="20"/>
              </w:rPr>
              <w:t xml:space="preserve">
• Cliente HTTP fetch wrapper com tratamento de envelope de erro do backend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npm run dev no frontend abre app em localhost com rota / e /login renderizando</w:t>
            </w:r>
            <w:r>
              <w:rPr>
                <w:sz w:val="20"/>
                <w:szCs w:val="20"/>
              </w:rPr>
              <w:t xml:space="preserve">
2. Erro mock do backend é capturado e exibido em toast</w:t>
            </w:r>
            <w:r>
              <w:rPr>
                <w:sz w:val="20"/>
                <w:szCs w:val="20"/>
              </w:rPr>
              <w:t xml:space="preserve">
3. Type-check e lint passam</w:t>
            </w:r>
          </w:p>
        </w:tc>
      </w:tr>
    </w:tbl>
    <w:p>
      <w:pPr>
        <w:spacing w:after="140"/>
      </w:pPr>
    </w:p>
    <w:p>
      <w:pPr>
        <w:pStyle w:val="Heading2"/>
        <w:spacing w:after="100" w:before="320"/>
      </w:pPr>
      <w:r>
        <w:t xml:space="preserve">EP-02 — Multiempresa, RBAC e Autenticação</w:t>
      </w:r>
    </w:p>
    <w:p>
      <w:pPr>
        <w:spacing w:after="120" w:line="276"/>
      </w:pPr>
      <w:r>
        <w:rPr>
          <w:b/>
          <w:bCs/>
        </w:rPr>
        <w:t xml:space="preserve">Resumo. </w:t>
      </w:r>
      <w:r>
        <w:t xml:space="preserve">Tenant raiz, empresas, usuários, perfis, permissões granulares e middleware de contexto de empresa.</w:t>
      </w: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Conteúdo: 7 tarefas · Total: 31 pontos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TSK-020  ·  5 pts · B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Modelagem TypeORM: Tenant, Company, Branch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Entidades TypeORM com decorators, migrations iniciais e repositórios.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Entidade Tenant (id, name, slug, active, timestamps)</w:t>
            </w:r>
            <w:r>
              <w:rPr>
                <w:sz w:val="20"/>
                <w:szCs w:val="20"/>
              </w:rPr>
              <w:t xml:space="preserve">
• Entidade Company com TODOS os campos do schema (CNPJ, IE, IM, CRT, endereço, flags fiscais — usaIcms, usaIcmsSt, usaIpi, usaDifal, usaFcp, usaIcmsDesonerado)</w:t>
            </w:r>
            <w:r>
              <w:rPr>
                <w:sz w:val="20"/>
                <w:szCs w:val="20"/>
              </w:rPr>
              <w:t xml:space="preserve">
• Entidade Branch com FK para Company</w:t>
            </w:r>
            <w:r>
              <w:rPr>
                <w:sz w:val="20"/>
                <w:szCs w:val="20"/>
              </w:rPr>
              <w:t xml:space="preserve">
• Migration inicial criando as tabelas com índices</w:t>
            </w:r>
            <w:r>
              <w:rPr>
                <w:sz w:val="20"/>
                <w:szCs w:val="20"/>
              </w:rPr>
              <w:t xml:space="preserve">
• Repositórios ITenantRepository, ICompanyRepository, IBranchRepository (interfaces) + implementações TypeORM</w:t>
            </w:r>
            <w:r>
              <w:rPr>
                <w:sz w:val="20"/>
                <w:szCs w:val="20"/>
              </w:rPr>
              <w:t xml:space="preserve">
• Registro em tsyringe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Migration up + down testada em homologação</w:t>
            </w:r>
            <w:r>
              <w:rPr>
                <w:sz w:val="20"/>
                <w:szCs w:val="20"/>
              </w:rPr>
              <w:t xml:space="preserve">
2. Testes de integração: criar tenant → criar company → criar branch; listar companies por tenant</w:t>
            </w:r>
            <w:r>
              <w:rPr>
                <w:sz w:val="20"/>
                <w:szCs w:val="20"/>
              </w:rPr>
              <w:t xml:space="preserve">
3. Constraint de unicidade CNPJ funciona; tentativa de duplicar retorna erro de negócio claro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TSK-003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TSK-021  ·  5 pts · B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Modelagem TypeORM: User, Role, Permission, UserRole, RolePermission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Entidades de RBAC com vínculo opcional por empresa (UserRole.companyId nullable).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Entidade User (id, tenantId, email único, passwordHash, fullName, MFA fields, lockedUntil, failedLogins)</w:t>
            </w:r>
            <w:r>
              <w:rPr>
                <w:sz w:val="20"/>
                <w:szCs w:val="20"/>
              </w:rPr>
              <w:t xml:space="preserve">
• Entidade Role com (tenantId, name, description, system flag)</w:t>
            </w:r>
            <w:r>
              <w:rPr>
                <w:sz w:val="20"/>
                <w:szCs w:val="20"/>
              </w:rPr>
              <w:t xml:space="preserve">
• Entidade Permission global (code único, description)</w:t>
            </w:r>
            <w:r>
              <w:rPr>
                <w:sz w:val="20"/>
                <w:szCs w:val="20"/>
              </w:rPr>
              <w:t xml:space="preserve">
• Tabela de junção UserRole com chave composta (userId, roleId, companyId nullable)</w:t>
            </w:r>
            <w:r>
              <w:rPr>
                <w:sz w:val="20"/>
                <w:szCs w:val="20"/>
              </w:rPr>
              <w:t xml:space="preserve">
• Tabela RolePermission</w:t>
            </w:r>
            <w:r>
              <w:rPr>
                <w:sz w:val="20"/>
                <w:szCs w:val="20"/>
              </w:rPr>
              <w:t xml:space="preserve">
• Seed inicial de perfis: Administrador, Gestor, Faturista, Fiscal/Contábil, Compras, Financeiro</w:t>
            </w:r>
            <w:r>
              <w:rPr>
                <w:sz w:val="20"/>
                <w:szCs w:val="20"/>
              </w:rPr>
              <w:t xml:space="preserve">
• Seed inicial de permissões: nfe.emit, nfe.cancel, nfe.cc-e, ent.manifest, fin.payable.write, etc. (lista completa em ADR-003)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Migration aplicada; seed roda em ambiente novo sem erro</w:t>
            </w:r>
            <w:r>
              <w:rPr>
                <w:sz w:val="20"/>
                <w:szCs w:val="20"/>
              </w:rPr>
              <w:t xml:space="preserve">
2. Testes: usuário pode ter papel global (companyId null) ou por empresa específica</w:t>
            </w:r>
            <w:r>
              <w:rPr>
                <w:sz w:val="20"/>
                <w:szCs w:val="20"/>
              </w:rPr>
              <w:t xml:space="preserve">
3. Atribuir mesmo papel duas vezes no mesmo escopo é idempotente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TSK-020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TSK-022  ·  5 pts · I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Use case e endpoint: criar e autenticar usuário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Cadastro de usuário pelo admin e login com senha + bcrypt + retorno de token JWT.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Use case CriarUsuarioUseCase com validação de email único no tenant</w:t>
            </w:r>
            <w:r>
              <w:rPr>
                <w:sz w:val="20"/>
                <w:szCs w:val="20"/>
              </w:rPr>
              <w:t xml:space="preserve">
• Hash bcrypt com cost 12 (configurável)</w:t>
            </w:r>
            <w:r>
              <w:rPr>
                <w:sz w:val="20"/>
                <w:szCs w:val="20"/>
              </w:rPr>
              <w:t xml:space="preserve">
• Use case AutenticarUseCase: valida credenciais, incrementa failedLogins em erro, bloqueia após 5 tentativas por 15min</w:t>
            </w:r>
            <w:r>
              <w:rPr>
                <w:sz w:val="20"/>
                <w:szCs w:val="20"/>
              </w:rPr>
              <w:t xml:space="preserve">
• JWT com payload mínimo: userId, tenantId, accessibleCompanyIds, exp</w:t>
            </w:r>
            <w:r>
              <w:rPr>
                <w:sz w:val="20"/>
                <w:szCs w:val="20"/>
              </w:rPr>
              <w:t xml:space="preserve">
• Refresh token opaco armazenado em tabela RefreshToken (TTL configurável)</w:t>
            </w:r>
            <w:r>
              <w:rPr>
                <w:sz w:val="20"/>
                <w:szCs w:val="20"/>
              </w:rPr>
              <w:t xml:space="preserve">
• Endpoint POST /auth/login, POST /auth/refresh, POST /auth/logout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Login com credencial válida retorna access (15min) + refresh (7 dias)</w:t>
            </w:r>
            <w:r>
              <w:rPr>
                <w:sz w:val="20"/>
                <w:szCs w:val="20"/>
              </w:rPr>
              <w:t xml:space="preserve">
2. 5 tentativas erradas bloqueiam por 15min; tentativa após bloqueio retorna 423</w:t>
            </w:r>
            <w:r>
              <w:rPr>
                <w:sz w:val="20"/>
                <w:szCs w:val="20"/>
              </w:rPr>
              <w:t xml:space="preserve">
3. Refresh com token válido emite novo access; refresh com token expirado retorna 401</w:t>
            </w:r>
            <w:r>
              <w:rPr>
                <w:sz w:val="20"/>
                <w:szCs w:val="20"/>
              </w:rPr>
              <w:t xml:space="preserve">
4. Logout revoga o refresh token (linha removida)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TSK-021, TSK-004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TSK-023  ·  3 pts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Middleware de autenticação JWT + propagação no AsyncLocalStorage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Middleware Express valida JWT, popula contexto da requisição com user, tenant e empresas acessíveis.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Middleware requireAuth() valida assinatura, expiração, blacklist (se aplicável)</w:t>
            </w:r>
            <w:r>
              <w:rPr>
                <w:sz w:val="20"/>
                <w:szCs w:val="20"/>
              </w:rPr>
              <w:t xml:space="preserve">
• Popula AsyncLocalStorage: { userId, tenantId, roles, accessibleCompanyIds }</w:t>
            </w:r>
            <w:r>
              <w:rPr>
                <w:sz w:val="20"/>
                <w:szCs w:val="20"/>
              </w:rPr>
              <w:t xml:space="preserve">
• Helper currentUser() acessível em qualquer camada</w:t>
            </w:r>
            <w:r>
              <w:rPr>
                <w:sz w:val="20"/>
                <w:szCs w:val="20"/>
              </w:rPr>
              <w:t xml:space="preserve">
• Decorator @requirePermission('nfe.emit') em controllers (ou middleware factory)</w:t>
            </w:r>
            <w:r>
              <w:rPr>
                <w:sz w:val="20"/>
                <w:szCs w:val="20"/>
              </w:rPr>
              <w:t xml:space="preserve">
• Erro 401 quando ausente; 403 quando autenticado mas sem permissão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Rota protegida sem token retorna 401; com token de outro tenant retorna 403</w:t>
            </w:r>
            <w:r>
              <w:rPr>
                <w:sz w:val="20"/>
                <w:szCs w:val="20"/>
              </w:rPr>
              <w:t xml:space="preserve">
2. currentUser() retorna o usuário correto dentro de um use case</w:t>
            </w:r>
            <w:r>
              <w:rPr>
                <w:sz w:val="20"/>
                <w:szCs w:val="20"/>
              </w:rPr>
              <w:t xml:space="preserve">
3. Logger inclui userId automaticamente em todas as linhas de log dentro do request autenticado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TSK-022, TSK-005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TSK-024  ·  3 pts · I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Middleware de contexto de empresa (tenantContext)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Garante que toda operação transacional inclui companyId; bloqueia acesso a empresa fora do escopo do usuário.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Header X-Company-Id ou query param ?companyId resolve a empresa-alvo</w:t>
            </w:r>
            <w:r>
              <w:rPr>
                <w:sz w:val="20"/>
                <w:szCs w:val="20"/>
              </w:rPr>
              <w:t xml:space="preserve">
• Middleware valida que companyId ∈ accessibleCompanyIds do usuário</w:t>
            </w:r>
            <w:r>
              <w:rPr>
                <w:sz w:val="20"/>
                <w:szCs w:val="20"/>
              </w:rPr>
              <w:t xml:space="preserve">
• Popula AsyncLocalStorage com companyId atual</w:t>
            </w:r>
            <w:r>
              <w:rPr>
                <w:sz w:val="20"/>
                <w:szCs w:val="20"/>
              </w:rPr>
              <w:t xml:space="preserve">
• Repositórios TypeORM injetam companyId automaticamente em where (via helper baseQuery())</w:t>
            </w:r>
            <w:r>
              <w:rPr>
                <w:sz w:val="20"/>
                <w:szCs w:val="20"/>
              </w:rPr>
              <w:t xml:space="preserve">
• Tarefa de auditoria: registrar tentativa de acesso a empresa não autorizada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Listar clientes sem companyId no contexto retorna 400 com mensagem clara</w:t>
            </w:r>
            <w:r>
              <w:rPr>
                <w:sz w:val="20"/>
                <w:szCs w:val="20"/>
              </w:rPr>
              <w:t xml:space="preserve">
2. Tentar acessar empresa de outro usuário retorna 403 e gera log de segurança</w:t>
            </w:r>
            <w:r>
              <w:rPr>
                <w:sz w:val="20"/>
                <w:szCs w:val="20"/>
              </w:rPr>
              <w:t xml:space="preserve">
3. Teste de integração: criar dado em empresa A não aparece em listagem de empresa B (mesmo tenant)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TSK-023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TSK-025  ·  5 pts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MFA opcional (TOTP) e gestão de sessões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Suporte a TOTP (Google Authenticator) com setup, validação e backup codes.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Endpoint POST /auth/mfa/setup gera secret e QR code base64</w:t>
            </w:r>
            <w:r>
              <w:rPr>
                <w:sz w:val="20"/>
                <w:szCs w:val="20"/>
              </w:rPr>
              <w:t xml:space="preserve">
• Endpoint POST /auth/mfa/verify valida token; ativa MFA no usuário</w:t>
            </w:r>
            <w:r>
              <w:rPr>
                <w:sz w:val="20"/>
                <w:szCs w:val="20"/>
              </w:rPr>
              <w:t xml:space="preserve">
• Login com MFA ativo exige segundo fator antes de emitir JWT</w:t>
            </w:r>
            <w:r>
              <w:rPr>
                <w:sz w:val="20"/>
                <w:szCs w:val="20"/>
              </w:rPr>
              <w:t xml:space="preserve">
• Geração de 10 backup codes single-use armazenados hashed</w:t>
            </w:r>
            <w:r>
              <w:rPr>
                <w:sz w:val="20"/>
                <w:szCs w:val="20"/>
              </w:rPr>
              <w:t xml:space="preserve">
• Endpoint para regenerar backup codes (invalida os anteriores)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Usuário consegue habilitar e usar MFA fim a fim</w:t>
            </w:r>
            <w:r>
              <w:rPr>
                <w:sz w:val="20"/>
                <w:szCs w:val="20"/>
              </w:rPr>
              <w:t xml:space="preserve">
2. Backup code usado uma vez não funciona novamente</w:t>
            </w:r>
            <w:r>
              <w:rPr>
                <w:sz w:val="20"/>
                <w:szCs w:val="20"/>
              </w:rPr>
              <w:t xml:space="preserve">
3. Admin pode resetar MFA de outro usuário (com auditoria)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TSK-022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TSK-026  ·  5 pts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Telas frontend: Login, MFA, seleção de empresa, troca de contexto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Frontend dos fluxos de autenticação seguindo o mapa de jornada geral.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Tela /login com email + senha + recuperação</w:t>
            </w:r>
            <w:r>
              <w:rPr>
                <w:sz w:val="20"/>
                <w:szCs w:val="20"/>
              </w:rPr>
              <w:t xml:space="preserve">
• Tela /mfa/verify quando MFA ativo</w:t>
            </w:r>
            <w:r>
              <w:rPr>
                <w:sz w:val="20"/>
                <w:szCs w:val="20"/>
              </w:rPr>
              <w:t xml:space="preserve">
• Tela /select-company quando usuário tem acesso a múltiplas empresas</w:t>
            </w:r>
            <w:r>
              <w:rPr>
                <w:sz w:val="20"/>
                <w:szCs w:val="20"/>
              </w:rPr>
              <w:t xml:space="preserve">
• Seletor de empresa persistente no header com troca rápida</w:t>
            </w:r>
            <w:r>
              <w:rPr>
                <w:sz w:val="20"/>
                <w:szCs w:val="20"/>
              </w:rPr>
              <w:t xml:space="preserve">
• Persistência segura do refresh token (httpOnly cookie via backend)</w:t>
            </w:r>
            <w:r>
              <w:rPr>
                <w:sz w:val="20"/>
                <w:szCs w:val="20"/>
              </w:rPr>
              <w:t xml:space="preserve">
• Auto-logout após inatividade configurável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Fluxo Login → MFA → SelectCompany → Dashboard funciona ponta a ponta</w:t>
            </w:r>
            <w:r>
              <w:rPr>
                <w:sz w:val="20"/>
                <w:szCs w:val="20"/>
              </w:rPr>
              <w:t xml:space="preserve">
2. Trocar empresa não força novo login mas atualiza contexto e re-fetch das queries TanStack</w:t>
            </w:r>
            <w:r>
              <w:rPr>
                <w:sz w:val="20"/>
                <w:szCs w:val="20"/>
              </w:rPr>
              <w:t xml:space="preserve">
3. Refresh token rotaciona automaticamente próximo ao vencimento do access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TSK-024, TSK-010</w:t>
            </w:r>
          </w:p>
        </w:tc>
      </w:tr>
    </w:tbl>
    <w:p>
      <w:pPr>
        <w:spacing w:after="140"/>
      </w:pPr>
    </w:p>
    <w:p>
      <w:pPr>
        <w:pStyle w:val="Heading2"/>
        <w:spacing w:after="100" w:before="320"/>
      </w:pPr>
      <w:r>
        <w:t xml:space="preserve">EP-03 — Cadastros Base — Clientes, Fornecedores, Produtos e Serviços</w:t>
      </w:r>
    </w:p>
    <w:p>
      <w:pPr>
        <w:spacing w:after="120" w:line="276"/>
      </w:pPr>
      <w:r>
        <w:rPr>
          <w:b/>
          <w:bCs/>
        </w:rPr>
        <w:t xml:space="preserve">Resumo. </w:t>
      </w:r>
      <w:r>
        <w:t xml:space="preserve">Cadastros fundamentais com todos os atributos fiscais detalhados na Seção 6.1.1 do PRD.</w:t>
      </w: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Conteúdo: 7 tarefas · Total: 39 pontos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TSK-040  ·  5 pts · F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Modelagem TypeORM: Customer com atributos fiscais completos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Entidade Customer espelhando o schema Prisma, incluindo crtDestinatario, consumidorFinal, indicadorPresenca, SUFRAMA, suporte a exterior.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Todos os campos da v1.3 do schema (tipoPessoa, cnpjCpf, indicadorIE, crtDestinatario, consumidorFinal, indicadorPresenca, endereço completo, suframa, pais)</w:t>
            </w:r>
            <w:r>
              <w:rPr>
                <w:sz w:val="20"/>
                <w:szCs w:val="20"/>
              </w:rPr>
              <w:t xml:space="preserve">
• Value Objects: CnpjCpf (com validação), CodigoMunicipioIbge</w:t>
            </w:r>
            <w:r>
              <w:rPr>
                <w:sz w:val="20"/>
                <w:szCs w:val="20"/>
              </w:rPr>
              <w:t xml:space="preserve">
• Validações: CNPJ válido (algoritmo), CPF válido, unicidade por (companyId, cnpjCpf)</w:t>
            </w:r>
            <w:r>
              <w:rPr>
                <w:sz w:val="20"/>
                <w:szCs w:val="20"/>
              </w:rPr>
              <w:t xml:space="preserve">
• Soft delete via deletedAt</w:t>
            </w:r>
            <w:r>
              <w:rPr>
                <w:sz w:val="20"/>
                <w:szCs w:val="20"/>
              </w:rPr>
              <w:t xml:space="preserve">
• Migration + repositório + testes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Criar cliente PJ válido funciona; CNPJ inválido retorna 422 com motivo</w:t>
            </w:r>
            <w:r>
              <w:rPr>
                <w:sz w:val="20"/>
                <w:szCs w:val="20"/>
              </w:rPr>
              <w:t xml:space="preserve">
2. Tentar criar cliente com CNPJ duplicado na mesma empresa retorna erro de negócio</w:t>
            </w:r>
            <w:r>
              <w:rPr>
                <w:sz w:val="20"/>
                <w:szCs w:val="20"/>
              </w:rPr>
              <w:t xml:space="preserve">
3. Cliente exterior (sem CNPJ, com codigoPais ≠ 1058) é aceito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TSK-024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TSK-041  ·  3 pts · F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Modelagem TypeORM: Supplier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Fornecedor com crtFornecedor (afeta apropriação de crédito).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Mesma estrutura de Customer adaptada (sem consumidorFinal/indPres)</w:t>
            </w:r>
            <w:r>
              <w:rPr>
                <w:sz w:val="20"/>
                <w:szCs w:val="20"/>
              </w:rPr>
              <w:t xml:space="preserve">
• Campo crtFornecedor para fornecedores PJ</w:t>
            </w:r>
            <w:r>
              <w:rPr>
                <w:sz w:val="20"/>
                <w:szCs w:val="20"/>
              </w:rPr>
              <w:t xml:space="preserve">
• Indicação de produtor rural / contribuinte (afeta tratamento ICMS)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CRUD funciona; cobertura de testes adequada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TSK-040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TSK-042  ·  8 pts · B F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Modelagem TypeORM: Product + ProductTaxRule (versionado)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Produto e sua regra tributária versionada por vigência, com TODOS os campos discutidos: ICMS próprio, ICMS-ST, ICMS desonerado, FCP, IPI (inclusive por unidade), PIS/COFINS, IBS/CBS/IS.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Entidade Product (códigos, NCM, CEST, origem, GTIN, controle de estoque, importado)</w:t>
            </w:r>
            <w:r>
              <w:rPr>
                <w:sz w:val="20"/>
                <w:szCs w:val="20"/>
              </w:rPr>
              <w:t xml:space="preserve">
• Entidade ProductTaxRule com ~60 campos da v1.3 (ver schema)</w:t>
            </w:r>
            <w:r>
              <w:rPr>
                <w:sz w:val="20"/>
                <w:szCs w:val="20"/>
              </w:rPr>
              <w:t xml:space="preserve">
• Validação: NCM 8 dígitos, CEST 7 dígitos, origem 0-8</w:t>
            </w:r>
            <w:r>
              <w:rPr>
                <w:sz w:val="20"/>
                <w:szCs w:val="20"/>
              </w:rPr>
              <w:t xml:space="preserve">
• Repositório com método getRegraVigente(productId, data): busca regra onde validFrom ≤ data &lt; validTo</w:t>
            </w:r>
            <w:r>
              <w:rPr>
                <w:sz w:val="20"/>
                <w:szCs w:val="20"/>
              </w:rPr>
              <w:t xml:space="preserve">
• Constraint: períodos não podem se sobrepor para o mesmo produto</w:t>
            </w:r>
            <w:r>
              <w:rPr>
                <w:sz w:val="20"/>
                <w:szCs w:val="20"/>
              </w:rPr>
              <w:t xml:space="preserve">
• Trigger ou validação na camada de aplicação para esse invariante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Criar produto + regra vigente funciona</w:t>
            </w:r>
            <w:r>
              <w:rPr>
                <w:sz w:val="20"/>
                <w:szCs w:val="20"/>
              </w:rPr>
              <w:t xml:space="preserve">
2. Criar segunda regra com vigência sobreposta retorna erro de negócio claro</w:t>
            </w:r>
            <w:r>
              <w:rPr>
                <w:sz w:val="20"/>
                <w:szCs w:val="20"/>
              </w:rPr>
              <w:t xml:space="preserve">
3. Buscar regra vigente em data X retorna a regra correta</w:t>
            </w:r>
            <w:r>
              <w:rPr>
                <w:sz w:val="20"/>
                <w:szCs w:val="20"/>
              </w:rPr>
              <w:t xml:space="preserve">
4. Validação fiscal: especialista revisa os 60 campos contra o XML schema da NF-e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TSK-024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TSK-043  ·  5 pts · F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Modelagem TypeORM: Service + ServiceTaxRule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Serviço com tributação ISS (transição) e IBS/CBS (Reforma).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Service: código, descrição, itemListaServico, cTribNac, cTribMun, CNAE</w:t>
            </w:r>
            <w:r>
              <w:rPr>
                <w:sz w:val="20"/>
                <w:szCs w:val="20"/>
              </w:rPr>
              <w:t xml:space="preserve">
• ServiceTaxRule versionada: cstIss, aliqIss, tipoRetencao, cstIbsCbs, cClassTrib, cIndOp, retenções federais</w:t>
            </w:r>
            <w:r>
              <w:rPr>
                <w:sz w:val="20"/>
                <w:szCs w:val="20"/>
              </w:rPr>
              <w:t xml:space="preserve">
• Validações por item da lista de serviços (LC 116/2003)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CRUD + busca por regra vigente; testes de unicidade e validação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TSK-042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TSK-044  ·  5 pts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Use cases CRUD: Customer, Supplier, Product, Service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Use cases padronizados (criar, atualizar, listar, buscar por id, soft delete) para cada cadastro.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Padrão de DTOs por use case: Create*, Update*, *Output</w:t>
            </w:r>
            <w:r>
              <w:rPr>
                <w:sz w:val="20"/>
                <w:szCs w:val="20"/>
              </w:rPr>
              <w:t xml:space="preserve">
• Listagem com paginação (cursor-based) e filtros básicos</w:t>
            </w:r>
            <w:r>
              <w:rPr>
                <w:sz w:val="20"/>
                <w:szCs w:val="20"/>
              </w:rPr>
              <w:t xml:space="preserve">
• Validação: produto/serviço só pode ser desativado se não houver regra vigente futura</w:t>
            </w:r>
            <w:r>
              <w:rPr>
                <w:sz w:val="20"/>
                <w:szCs w:val="20"/>
              </w:rPr>
              <w:t xml:space="preserve">
• Auditoria: todo CRUD gera AuditLog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Cobertura de testes ≥ 90% nos use cases</w:t>
            </w:r>
            <w:r>
              <w:rPr>
                <w:sz w:val="20"/>
                <w:szCs w:val="20"/>
              </w:rPr>
              <w:t xml:space="preserve">
2. Listagem suporta filtro por texto, ativos/inativos, paginação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TSK-040, TSK-041, TSK-042, TSK-043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TSK-045  ·  8 pts · E2E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Endpoints REST e telas frontend de cadastros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API completa + telas CRUD com formulários estruturados para os 4 cadastros.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Rotas /customers, /suppliers, /products, /services com GET, POST, PUT, DELETE</w:t>
            </w:r>
            <w:r>
              <w:rPr>
                <w:sz w:val="20"/>
                <w:szCs w:val="20"/>
              </w:rPr>
              <w:t xml:space="preserve">
• Telas frontend usando shadcn/ui: lista (tabela com filtros), formulário (tabs por seção)</w:t>
            </w:r>
            <w:r>
              <w:rPr>
                <w:sz w:val="20"/>
                <w:szCs w:val="20"/>
              </w:rPr>
              <w:t xml:space="preserve">
• Tela de Product especialmente: tabs Identificação, Tributação por vigência (com versionamento UX claro)</w:t>
            </w:r>
            <w:r>
              <w:rPr>
                <w:sz w:val="20"/>
                <w:szCs w:val="20"/>
              </w:rPr>
              <w:t xml:space="preserve">
• Validação inline com Zod (mesmo schema do backend)</w:t>
            </w:r>
            <w:r>
              <w:rPr>
                <w:sz w:val="20"/>
                <w:szCs w:val="20"/>
              </w:rPr>
              <w:t xml:space="preserve">
• E2E Playwright: criar produto com regra tributária, editar, listar, desativar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Faturista consegue cadastrar produto completo em menos de 2 minutos (UX validada)</w:t>
            </w:r>
            <w:r>
              <w:rPr>
                <w:sz w:val="20"/>
                <w:szCs w:val="20"/>
              </w:rPr>
              <w:t xml:space="preserve">
2. Mudanças tributárias por vigência são intuitivas (mostrar histórico)</w:t>
            </w:r>
            <w:r>
              <w:rPr>
                <w:sz w:val="20"/>
                <w:szCs w:val="20"/>
              </w:rPr>
              <w:t xml:space="preserve">
3. E2E passa no CI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TSK-044, TSK-026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TSK-046  ·  5 pts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Importação de cadastros via CSV/XLSX (legado e onboarding)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Importador genérico para popular cadastros em massa, com validação e relatório de inconsistências.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Usar exceljs ou sheetjs para parsing</w:t>
            </w:r>
            <w:r>
              <w:rPr>
                <w:sz w:val="20"/>
                <w:szCs w:val="20"/>
              </w:rPr>
              <w:t xml:space="preserve">
• Template de planilha por cadastro (download na UI)</w:t>
            </w:r>
            <w:r>
              <w:rPr>
                <w:sz w:val="20"/>
                <w:szCs w:val="20"/>
              </w:rPr>
              <w:t xml:space="preserve">
• Validação linha a linha com relatório de erros (linha, coluna, motivo)</w:t>
            </w:r>
            <w:r>
              <w:rPr>
                <w:sz w:val="20"/>
                <w:szCs w:val="20"/>
              </w:rPr>
              <w:t xml:space="preserve">
• Processamento em fila (BullMQ) para arquivos grandes (&gt;1000 linhas)</w:t>
            </w:r>
            <w:r>
              <w:rPr>
                <w:sz w:val="20"/>
                <w:szCs w:val="20"/>
              </w:rPr>
              <w:t xml:space="preserve">
• Idempotência por chave natural (CNPJ para cliente, código para produto)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Importar 500 produtos de planilha funciona em &lt; 30s</w:t>
            </w:r>
            <w:r>
              <w:rPr>
                <w:sz w:val="20"/>
                <w:szCs w:val="20"/>
              </w:rPr>
              <w:t xml:space="preserve">
2. Linhas com erro são reportadas; linhas válidas são importadas</w:t>
            </w:r>
            <w:r>
              <w:rPr>
                <w:sz w:val="20"/>
                <w:szCs w:val="20"/>
              </w:rPr>
              <w:t xml:space="preserve">
3. Re-importar o mesmo arquivo atualiza (não duplica)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TSK-045</w:t>
            </w:r>
          </w:p>
        </w:tc>
      </w:tr>
    </w:tbl>
    <w:p>
      <w:pPr>
        <w:spacing w:after="140"/>
      </w:pPr>
    </w:p>
    <w:p>
      <w:pPr>
        <w:pStyle w:val="Heading2"/>
        <w:spacing w:after="100" w:before="320"/>
      </w:pPr>
      <w:r>
        <w:t xml:space="preserve">EP-04 — Tabelas Globais Fiscais e Motor Tributário</w:t>
      </w:r>
    </w:p>
    <w:p>
      <w:pPr>
        <w:spacing w:after="120" w:line="276"/>
      </w:pPr>
      <w:r>
        <w:rPr>
          <w:b/>
          <w:bCs/>
        </w:rPr>
        <w:t xml:space="preserve">Resumo. </w:t>
      </w:r>
      <w:r>
        <w:t xml:space="preserve">Tabelas oficiais (InterstateAliquot, IcmsInternaUf, IcmsStMva, BeneficioFiscalUf), TaxParameter versionado e o motor tributário que consome tudo isso.</w:t>
      </w: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Conteúdo: 13 tarefas · Total: 82 pontos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TSK-060  ·  5 pts · B F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Modelagem das tabelas globais fiscais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InterstateAliquot, IcmsInternaUf, IcmsStMva, BeneficioFiscalUf — todas versionadas por vigência.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4 entidades TypeORM com campos da v1.3 do schema</w:t>
            </w:r>
            <w:r>
              <w:rPr>
                <w:sz w:val="20"/>
                <w:szCs w:val="20"/>
              </w:rPr>
              <w:t xml:space="preserve">
• Constraints de unicidade por chaves naturais + validFrom</w:t>
            </w:r>
            <w:r>
              <w:rPr>
                <w:sz w:val="20"/>
                <w:szCs w:val="20"/>
              </w:rPr>
              <w:t xml:space="preserve">
• Repositórios com busca por par UF/UF/NCM/data conforme caso</w:t>
            </w:r>
            <w:r>
              <w:rPr>
                <w:sz w:val="20"/>
                <w:szCs w:val="20"/>
              </w:rPr>
              <w:t xml:space="preserve">
• Seed inicial com valores oficiais 2026: alíquotas interestaduais Senado 22/89 e 13/2012, alíquotas internas atuais por UF, FCP por UF que adota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Seed roda em &lt; 5s</w:t>
            </w:r>
            <w:r>
              <w:rPr>
                <w:sz w:val="20"/>
                <w:szCs w:val="20"/>
              </w:rPr>
              <w:t xml:space="preserve">
2. Buscar alíquota interestadual SP→AM em 2026 retorna 7%</w:t>
            </w:r>
            <w:r>
              <w:rPr>
                <w:sz w:val="20"/>
                <w:szCs w:val="20"/>
              </w:rPr>
              <w:t xml:space="preserve">
3. Buscar alíquota interna SP retorna 18% (ou valor vigente)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TSK-003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TSK-061  ·  5 pts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Modelagem TaxParameter e TaxRule (genéricos)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Tabelas parametrizáveis por chave/JSON para extensão sem mudança de schema.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TaxParameter: companyId opcional, chave, valor JSON, fonteNorma, vigência</w:t>
            </w:r>
            <w:r>
              <w:rPr>
                <w:sz w:val="20"/>
                <w:szCs w:val="20"/>
              </w:rPr>
              <w:t xml:space="preserve">
• TaxRule: companyId, condições JSON, cálculos JSON, prioridade, vigência</w:t>
            </w:r>
            <w:r>
              <w:rPr>
                <w:sz w:val="20"/>
                <w:szCs w:val="20"/>
              </w:rPr>
              <w:t xml:space="preserve">
• Validação de chave: namespace.parametro (ex.: ibs.aliquota.padrao)</w:t>
            </w:r>
            <w:r>
              <w:rPr>
                <w:sz w:val="20"/>
                <w:szCs w:val="20"/>
              </w:rPr>
              <w:t xml:space="preserve">
• ADR-004: 'Tributação como dados, não código'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Criar parâmetro com vigência futura funciona</w:t>
            </w:r>
            <w:r>
              <w:rPr>
                <w:sz w:val="20"/>
                <w:szCs w:val="20"/>
              </w:rPr>
              <w:t xml:space="preserve">
2. Sobreposição de vigências para mesma chave/company gera erro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TSK-060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TSK-062  ·  5 pts · B F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Motor tributário: arquitetura base e interfaces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Definir as abstrações: ICalculadoraTributo, ContextoCalculo, ResultadoCalculo, Pipeline de calculadoras.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Interface ICalculadoraTributo { aplica(ctx): boolean; calcular(ctx): ResultadoParcial }</w:t>
            </w:r>
            <w:r>
              <w:rPr>
                <w:sz w:val="20"/>
                <w:szCs w:val="20"/>
              </w:rPr>
              <w:t xml:space="preserve">
• ContextoCalculo: produto/serviço, regra vigente, cliente, empresa (com flags), operação, UFs origem/destino, data</w:t>
            </w:r>
            <w:r>
              <w:rPr>
                <w:sz w:val="20"/>
                <w:szCs w:val="20"/>
              </w:rPr>
              <w:t xml:space="preserve">
• MotorTributarioService orquestra: lista calculadoras, executa as aplicáveis, agrega resultado</w:t>
            </w:r>
            <w:r>
              <w:rPr>
                <w:sz w:val="20"/>
                <w:szCs w:val="20"/>
              </w:rPr>
              <w:t xml:space="preserve">
• ADR-005: 'Motor tributário como pipeline de estratégias'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Testes de arquitetura: nova calculadora se registra via tsyringe @injectAll</w:t>
            </w:r>
            <w:r>
              <w:rPr>
                <w:sz w:val="20"/>
                <w:szCs w:val="20"/>
              </w:rPr>
              <w:t xml:space="preserve">
2. Mock de calculadora consegue ser injetado em testes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TSK-061, TSK-042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TSK-063  ·  8 pts · F I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Calculadora: ICMS próprio (com redução de base e desonerado)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Cálculo de ICMS para operações internas e interestaduais, com tratamento de pRedBC, modBC e desoneração.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Resolver alíquota: intraestadual usa regra do produto; interestadual busca InterstateAliquot</w:t>
            </w:r>
            <w:r>
              <w:rPr>
                <w:sz w:val="20"/>
                <w:szCs w:val="20"/>
              </w:rPr>
              <w:t xml:space="preserve">
• Aplicar redução de base quando pRedBC &gt; 0</w:t>
            </w:r>
            <w:r>
              <w:rPr>
                <w:sz w:val="20"/>
                <w:szCs w:val="20"/>
              </w:rPr>
              <w:t xml:space="preserve">
• Tratar produto importado: força 4% se interestadual</w:t>
            </w:r>
            <w:r>
              <w:rPr>
                <w:sz w:val="20"/>
                <w:szCs w:val="20"/>
              </w:rPr>
              <w:t xml:space="preserve">
• ICMS desonerado: calcular vICMSDeson conforme motivo</w:t>
            </w:r>
            <w:r>
              <w:rPr>
                <w:sz w:val="20"/>
                <w:szCs w:val="20"/>
              </w:rPr>
              <w:t xml:space="preserve">
• Testes parametrizados com casos de cada UF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SP intraestadual, produto sem redução: ICMS = base × 18%</w:t>
            </w:r>
            <w:r>
              <w:rPr>
                <w:sz w:val="20"/>
                <w:szCs w:val="20"/>
              </w:rPr>
              <w:t xml:space="preserve">
2. SP → AM, mesmo produto: ICMS = base × 7%</w:t>
            </w:r>
            <w:r>
              <w:rPr>
                <w:sz w:val="20"/>
                <w:szCs w:val="20"/>
              </w:rPr>
              <w:t xml:space="preserve">
3. Produto importado SP → MG: ICMS = base × 4%</w:t>
            </w:r>
            <w:r>
              <w:rPr>
                <w:sz w:val="20"/>
                <w:szCs w:val="20"/>
              </w:rPr>
              <w:t xml:space="preserve">
4. Caso com pRedBC = 33,33%: base reduzida a 66,67% antes de aplicar alíquota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TSK-062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TSK-064  ·  13 pts · F I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Calculadora: ICMS-ST (com MVA original e ajustada)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Calcula ST conforme cenários (remetente, retido anteriormente), busca MVA por par UF/NCM, aplica Convênio 35/2011 para MVA ajustada.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Buscar regra de MVA em IcmsStMva por (ufOrigem, ufDestino, ncm); fallback para pMVAST do produto</w:t>
            </w:r>
            <w:r>
              <w:rPr>
                <w:sz w:val="20"/>
                <w:szCs w:val="20"/>
              </w:rPr>
              <w:t xml:space="preserve">
• Cálculo de MVA ajustada: MVA_ajustada = [(1 + MVA_orig) × (1 - aliq_inter) / (1 - aliq_interna_dest)] - 1</w:t>
            </w:r>
            <w:r>
              <w:rPr>
                <w:sz w:val="20"/>
                <w:szCs w:val="20"/>
              </w:rPr>
              <w:t xml:space="preserve">
• Base ST = (vProd + IPI + frete + seguro + outras) × (1 + MVA)</w:t>
            </w:r>
            <w:r>
              <w:rPr>
                <w:sz w:val="20"/>
                <w:szCs w:val="20"/>
              </w:rPr>
              <w:t xml:space="preserve">
• ICMS-ST = (BaseST × aliqInternaDestino) - ICMS próprio</w:t>
            </w:r>
            <w:r>
              <w:rPr>
                <w:sz w:val="20"/>
                <w:szCs w:val="20"/>
              </w:rPr>
              <w:t xml:space="preserve">
• Tratar ST retido anteriormente (cenário operação subsequente)</w:t>
            </w:r>
            <w:r>
              <w:rPr>
                <w:sz w:val="20"/>
                <w:szCs w:val="20"/>
              </w:rPr>
              <w:t xml:space="preserve">
• Testes exaustivos com pelo menos 10 cenários reais (autopeças SP→MG, bebidas RJ→SP, cosméticos PR→RS, etc.)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Especialista fiscal valida 10 cálculos contra exemplos oficiais</w:t>
            </w:r>
            <w:r>
              <w:rPr>
                <w:sz w:val="20"/>
                <w:szCs w:val="20"/>
              </w:rPr>
              <w:t xml:space="preserve">
2. Quando flag usaIcmsSt = false na empresa, calculadora não é aplicada (retorna early)</w:t>
            </w:r>
            <w:r>
              <w:rPr>
                <w:sz w:val="20"/>
                <w:szCs w:val="20"/>
              </w:rPr>
              <w:t xml:space="preserve">
3. Casos sem MVA cadastrada retornam erro de configuração compreensível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TSK-063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TSK-065  ·  8 pts · F I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Calculadora: DIFAL e FCP destino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Diferencial de Alíquotas em operações interestaduais B2C, com FCP destino quando aplicável.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Detecta aplicabilidade: ufOrigem ≠ ufDestino + consumidorFinal = true + empresa usa DIFAL</w:t>
            </w:r>
            <w:r>
              <w:rPr>
                <w:sz w:val="20"/>
                <w:szCs w:val="20"/>
              </w:rPr>
              <w:t xml:space="preserve">
• baseICMSUFDest = valorOperação (com tratamentos específicos por UF)</w:t>
            </w:r>
            <w:r>
              <w:rPr>
                <w:sz w:val="20"/>
                <w:szCs w:val="20"/>
              </w:rPr>
              <w:t xml:space="preserve">
• pICMSUFDest = alíquota interna do destino (IcmsInternaUf)</w:t>
            </w:r>
            <w:r>
              <w:rPr>
                <w:sz w:val="20"/>
                <w:szCs w:val="20"/>
              </w:rPr>
              <w:t xml:space="preserve">
• pICMSInter = alíquota interestadual (InterstateAliquot)</w:t>
            </w:r>
            <w:r>
              <w:rPr>
                <w:sz w:val="20"/>
                <w:szCs w:val="20"/>
              </w:rPr>
              <w:t xml:space="preserve">
• valorICMSUFDest = base × (pICMSUFDest - pICMSInter)</w:t>
            </w:r>
            <w:r>
              <w:rPr>
                <w:sz w:val="20"/>
                <w:szCs w:val="20"/>
              </w:rPr>
              <w:t xml:space="preserve">
• FCP destino: base × pFCPUFDest quando UF de destino tem FCP</w:t>
            </w:r>
            <w:r>
              <w:rPr>
                <w:sz w:val="20"/>
                <w:szCs w:val="20"/>
              </w:rPr>
              <w:t xml:space="preserve">
• Preencher grupo completo ICMSUFDest do item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Venda SP → AM, B2C, mercadoria 100 reais: DIFAL = 100 × (18% - 7%) = 11 reais</w:t>
            </w:r>
            <w:r>
              <w:rPr>
                <w:sz w:val="20"/>
                <w:szCs w:val="20"/>
              </w:rPr>
              <w:t xml:space="preserve">
2. Quando destinatário é contribuinte: DIFAL não calculado (entra na apuração dele)</w:t>
            </w:r>
            <w:r>
              <w:rPr>
                <w:sz w:val="20"/>
                <w:szCs w:val="20"/>
              </w:rPr>
              <w:t xml:space="preserve">
3. Quando empresa não usa DIFAL: calculadora não aplica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TSK-063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TSK-066  ·  5 pts · F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Calculadora: IPI (com IPI por unidade)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Cálculo de IPI percentual ou por valor unitário (cigarros, bebidas).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Modo padrão: valorIpi = base × aliqIpi</w:t>
            </w:r>
            <w:r>
              <w:rPr>
                <w:sz w:val="20"/>
                <w:szCs w:val="20"/>
              </w:rPr>
              <w:t xml:space="preserve">
• Modo por unidade: valorIpi = quantidade × vUnidIpi</w:t>
            </w:r>
            <w:r>
              <w:rPr>
                <w:sz w:val="20"/>
                <w:szCs w:val="20"/>
              </w:rPr>
              <w:t xml:space="preserve">
• Tratar IPI suspenso, isento, não tributado (CSTs específicos)</w:t>
            </w:r>
            <w:r>
              <w:rPr>
                <w:sz w:val="20"/>
                <w:szCs w:val="20"/>
              </w:rPr>
              <w:t xml:space="preserve">
• Quando empresa não tem usaIpi = true, calculadora não aplica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Indústria: IPI calculado corretamente para os 3 modos</w:t>
            </w:r>
            <w:r>
              <w:rPr>
                <w:sz w:val="20"/>
                <w:szCs w:val="20"/>
              </w:rPr>
              <w:t xml:space="preserve">
2. Empresa sem IPI: vIPI = 0 e campo omitido no resultado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TSK-063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TSK-067  ·  5 pts · F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Calculadora: PIS e COFINS (regime antigo)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PIS/COFINS percentual ou por unidade, com tratamento de monofásico e ST.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Modo padrão: base × alíquota (0,65/3 não-cumulativo; 1,65/7,6 cumulativo)</w:t>
            </w:r>
            <w:r>
              <w:rPr>
                <w:sz w:val="20"/>
                <w:szCs w:val="20"/>
              </w:rPr>
              <w:t xml:space="preserve">
• Modo por unidade (combustíveis): qtde × vUnid</w:t>
            </w:r>
            <w:r>
              <w:rPr>
                <w:sz w:val="20"/>
                <w:szCs w:val="20"/>
              </w:rPr>
              <w:t xml:space="preserve">
• CST específicos para monofásico, suspenso, isento</w:t>
            </w:r>
            <w:r>
              <w:rPr>
                <w:sz w:val="20"/>
                <w:szCs w:val="20"/>
              </w:rPr>
              <w:t xml:space="preserve">
• Vigência: ativo até 2026; em 2027 não calcular mais (lê TaxParameter)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Vigência 2026: PIS+COFINS calculados</w:t>
            </w:r>
            <w:r>
              <w:rPr>
                <w:sz w:val="20"/>
                <w:szCs w:val="20"/>
              </w:rPr>
              <w:t xml:space="preserve">
2. Vigência ≥ 2027: skipado com mensagem 'extinto pela Reforma'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TSK-063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TSK-068  ·  8 pts · F I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Calculadora: IBS / CBS (Reforma)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Cálculo dos novos tributos da Reforma, com modo ano-teste (2026) e modo operação plena.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Resolver alíquota: produto sobrescreve UF; UF é padrão</w:t>
            </w:r>
            <w:r>
              <w:rPr>
                <w:sz w:val="20"/>
                <w:szCs w:val="20"/>
              </w:rPr>
              <w:t xml:space="preserve">
• Modo ano-teste (2026): aplicar alíquotas simbólicas (CBS 0,9%; IBS 0,1%); marcar sem recolhimento</w:t>
            </w:r>
            <w:r>
              <w:rPr>
                <w:sz w:val="20"/>
                <w:szCs w:val="20"/>
              </w:rPr>
              <w:t xml:space="preserve">
• Modo pleno: alíquotas reais da vigência</w:t>
            </w:r>
            <w:r>
              <w:rPr>
                <w:sz w:val="20"/>
                <w:szCs w:val="20"/>
              </w:rPr>
              <w:t xml:space="preserve">
• Princípio do destino: usar UF de destino para IBS</w:t>
            </w:r>
            <w:r>
              <w:rPr>
                <w:sz w:val="20"/>
                <w:szCs w:val="20"/>
              </w:rPr>
              <w:t xml:space="preserve">
• Tratar reduções, isenções, imunidades por CST IBS/CBS</w:t>
            </w:r>
            <w:r>
              <w:rPr>
                <w:sz w:val="20"/>
                <w:szCs w:val="20"/>
              </w:rPr>
              <w:t xml:space="preserve">
• Preencher CST + cClassTrib obrigatoriamente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Validação fiscal contra exemplos do Informe Técnico RT 2025.002</w:t>
            </w:r>
            <w:r>
              <w:rPr>
                <w:sz w:val="20"/>
                <w:szCs w:val="20"/>
              </w:rPr>
              <w:t xml:space="preserve">
2. Modo ano-teste claramente marcado no resultado (campo somenteRegistro = true)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TSK-063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TSK-069  ·  5 pts · F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Calculadora: Imposto Seletivo (IS)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IS sobre bens prejudiciais à saúde/ambiente — incidência a partir de 2027.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Só aplica se produto tem incidenciaIs = true</w:t>
            </w:r>
            <w:r>
              <w:rPr>
                <w:sz w:val="20"/>
                <w:szCs w:val="20"/>
              </w:rPr>
              <w:t xml:space="preserve">
• Vigência: a partir de 2027</w:t>
            </w:r>
            <w:r>
              <w:rPr>
                <w:sz w:val="20"/>
                <w:szCs w:val="20"/>
              </w:rPr>
              <w:t xml:space="preserve">
• Alíquota do produto (aliqIs) ou padrão por NCM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Cenários cobertos: bebida alcoólica, cigarro, veículo poluente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TSK-068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TSK-070  ·  5 pts · F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Calculadora de ISS (NFS-e) e retenções federais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Para serviços: ISS por município, retenção quando aplicável, PIS/COFINS/CSLL retidos.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Alíquota ISS: ServiceTaxRule + sobrescrita por município (TaxParameter)</w:t>
            </w:r>
            <w:r>
              <w:rPr>
                <w:sz w:val="20"/>
                <w:szCs w:val="20"/>
              </w:rPr>
              <w:t xml:space="preserve">
• Quando tipoRetencao = RETIDO_TOMADOR: marca issRetido e calcula valor</w:t>
            </w:r>
            <w:r>
              <w:rPr>
                <w:sz w:val="20"/>
                <w:szCs w:val="20"/>
              </w:rPr>
              <w:t xml:space="preserve">
• Retenções federais: PIS 0,65%, COFINS 3%, CSLL 1% quando aplicável (valor mínimo por nota)</w:t>
            </w:r>
            <w:r>
              <w:rPr>
                <w:sz w:val="20"/>
                <w:szCs w:val="20"/>
              </w:rPr>
              <w:t xml:space="preserve">
• INSS 11% para serviços de cessão de mão de obra (item 17.05, etc.)</w:t>
            </w:r>
            <w:r>
              <w:rPr>
                <w:sz w:val="20"/>
                <w:szCs w:val="20"/>
              </w:rPr>
              <w:t xml:space="preserve">
• IR retido conforme tabela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Especialista valida cenários de serviços prestados a PJ, com e sem retenção</w:t>
            </w:r>
            <w:r>
              <w:rPr>
                <w:sz w:val="20"/>
                <w:szCs w:val="20"/>
              </w:rPr>
              <w:t xml:space="preserve">
2. Retenções aparecem agrupadas corretamente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TSK-068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TSK-071  ·  5 pts · I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Pipeline orquestrador do motor tributário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Junta todas as calculadoras no MotorTributarioService.calcular(itens, contexto).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Resolve regra vigente do produto/serviço por data</w:t>
            </w:r>
            <w:r>
              <w:rPr>
                <w:sz w:val="20"/>
                <w:szCs w:val="20"/>
              </w:rPr>
              <w:t xml:space="preserve">
• Itera calculadoras na ordem correta (ICMS antes de ST; ST antes de DIFAL; IBS independente)</w:t>
            </w:r>
            <w:r>
              <w:rPr>
                <w:sz w:val="20"/>
                <w:szCs w:val="20"/>
              </w:rPr>
              <w:t xml:space="preserve">
• Agrega resultado em DTO ResultadoTributacaoItem (todos os campos do NFeItem)</w:t>
            </w:r>
            <w:r>
              <w:rPr>
                <w:sz w:val="20"/>
                <w:szCs w:val="20"/>
              </w:rPr>
              <w:t xml:space="preserve">
• Soma totais por documento (DTO ResultadoTributacaoDocumento)</w:t>
            </w:r>
            <w:r>
              <w:rPr>
                <w:sz w:val="20"/>
                <w:szCs w:val="20"/>
              </w:rPr>
              <w:t xml:space="preserve">
• Logs de auditoria do cálculo (passos aplicados, valores intermediários) em modo debug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Teste integrado: NF-e SP → MG, 3 itens (1 com ST, 1 sem, 1 importado), totais batem</w:t>
            </w:r>
            <w:r>
              <w:rPr>
                <w:sz w:val="20"/>
                <w:szCs w:val="20"/>
              </w:rPr>
              <w:t xml:space="preserve">
2. Memória de cálculo recuperável para auditoria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TSK-063, TSK-064, TSK-065, TSK-066, TSK-067, TSK-068, TSK-069, TSK-070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TSK-072  ·  5 pts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Endpoint /tax/simulate e preview de tributação no frontend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API que recebe itens + cliente + empresa e retorna o cálculo (sem persistir).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POST /tax/simulate com payload de itens e contexto</w:t>
            </w:r>
            <w:r>
              <w:rPr>
                <w:sz w:val="20"/>
                <w:szCs w:val="20"/>
              </w:rPr>
              <w:t xml:space="preserve">
• Resposta inclui valores por item + totais + warnings (configurações faltantes)</w:t>
            </w:r>
            <w:r>
              <w:rPr>
                <w:sz w:val="20"/>
                <w:szCs w:val="20"/>
              </w:rPr>
              <w:t xml:space="preserve">
• Frontend usa esse endpoint na pré-visualização da NF-e</w:t>
            </w:r>
            <w:r>
              <w:rPr>
                <w:sz w:val="20"/>
                <w:szCs w:val="20"/>
              </w:rPr>
              <w:t xml:space="preserve">
• Cache de 5 min por payload idêntico (perf)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Faturista altera quantidade de item; preview atualiza em &lt; 500ms</w:t>
            </w:r>
            <w:r>
              <w:rPr>
                <w:sz w:val="20"/>
                <w:szCs w:val="20"/>
              </w:rPr>
              <w:t xml:space="preserve">
2. Cenários sem regra cadastrada retornam mensagem clara (não 500)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TSK-071</w:t>
            </w:r>
          </w:p>
        </w:tc>
      </w:tr>
    </w:tbl>
    <w:p>
      <w:pPr>
        <w:spacing w:after="140"/>
      </w:pPr>
    </w:p>
    <w:p>
      <w:pPr>
        <w:pStyle w:val="Heading2"/>
        <w:spacing w:after="100" w:before="320"/>
      </w:pPr>
      <w:r>
        <w:t xml:space="preserve">EP-05 — Infraestrutura Compartilhada: Filas, Cofre, Observabilidade</w:t>
      </w:r>
    </w:p>
    <w:p>
      <w:pPr>
        <w:spacing w:after="120" w:line="276"/>
      </w:pPr>
      <w:r>
        <w:rPr>
          <w:b/>
          <w:bCs/>
        </w:rPr>
        <w:t xml:space="preserve">Resumo. </w:t>
      </w:r>
      <w:r>
        <w:t xml:space="preserve">BullMQ, integração com Vault, OpenTelemetry e auditoria — todas as fundações que módulos fiscais e financeiros vão consumir.</w:t>
      </w: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Conteúdo: 5 tarefas · Total: 21 pontos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TSK-090  ·  3 pts · B I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BullMQ: configuração base e padrões de worker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Filas configuradas (Redis), worker base com retry, backoff e observabilidade.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Instalar bullmq + ioredis</w:t>
            </w:r>
            <w:r>
              <w:rPr>
                <w:sz w:val="20"/>
                <w:szCs w:val="20"/>
              </w:rPr>
              <w:t xml:space="preserve">
• Padrão BaseWorker em infrastructure/queues com hooks para tracing</w:t>
            </w:r>
            <w:r>
              <w:rPr>
                <w:sz w:val="20"/>
                <w:szCs w:val="20"/>
              </w:rPr>
              <w:t xml:space="preserve">
• Configuração de filas: nfe-emit, nfe-distribuicao, focus-webhook, import-xml, reports</w:t>
            </w:r>
            <w:r>
              <w:rPr>
                <w:sz w:val="20"/>
                <w:szCs w:val="20"/>
              </w:rPr>
              <w:t xml:space="preserve">
• Política de retry: exponential backoff, max 5 tentativas, DLQ para falhas finais</w:t>
            </w:r>
            <w:r>
              <w:rPr>
                <w:sz w:val="20"/>
                <w:szCs w:val="20"/>
              </w:rPr>
              <w:t xml:space="preserve">
• Dashboard Bull Board em ambiente não-produção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Job de teste é enfileirado, processado, retry funciona em falha simulada</w:t>
            </w:r>
            <w:r>
              <w:rPr>
                <w:sz w:val="20"/>
                <w:szCs w:val="20"/>
              </w:rPr>
              <w:t xml:space="preserve">
2. Métricas: jobs/min, tempo médio, taxa de erro por fila expostas via Prometheus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TSK-008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TSK-091  ·  5 pts · B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Adapter de cofre de segredos (Vault ou Secrets Manager)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Interface ICertificateVault no domain; implementações para HashiCorp Vault e AWS Secrets Manager intercambiáveis.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Interface: storeCertificate, retrieveCertificate, listCertificates, rotateAccess, revoke</w:t>
            </w:r>
            <w:r>
              <w:rPr>
                <w:sz w:val="20"/>
                <w:szCs w:val="20"/>
              </w:rPr>
              <w:t xml:space="preserve">
• Certificado armazenado como conteúdo binário + metadados (validFrom, validTo, subject)</w:t>
            </w:r>
            <w:r>
              <w:rPr>
                <w:sz w:val="20"/>
                <w:szCs w:val="20"/>
              </w:rPr>
              <w:t xml:space="preserve">
• Audit trail: cada acesso ao certificado registra quem, quando, para qual operação</w:t>
            </w:r>
            <w:r>
              <w:rPr>
                <w:sz w:val="20"/>
                <w:szCs w:val="20"/>
              </w:rPr>
              <w:t xml:space="preserve">
• Implementação Vault como padrão; mock em memória para testes</w:t>
            </w:r>
            <w:r>
              <w:rPr>
                <w:sz w:val="20"/>
                <w:szCs w:val="20"/>
              </w:rPr>
              <w:t xml:space="preserve">
• Configuração via env: tipo de vault, endpoint, credenciais (que ficam em variáveis seguras do orquestrador)</w:t>
            </w:r>
            <w:r>
              <w:rPr>
                <w:sz w:val="20"/>
                <w:szCs w:val="20"/>
              </w:rPr>
              <w:t xml:space="preserve">
• ADR-006: 'Por que cofre externo e nunca em banco'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Subir um certificado, recuperar, listar, revogar — fim a fim no Vault local</w:t>
            </w:r>
            <w:r>
              <w:rPr>
                <w:sz w:val="20"/>
                <w:szCs w:val="20"/>
              </w:rPr>
              <w:t xml:space="preserve">
2. Tentar acessar sem permissão retorna erro auditado</w:t>
            </w:r>
            <w:r>
              <w:rPr>
                <w:sz w:val="20"/>
                <w:szCs w:val="20"/>
              </w:rPr>
              <w:t xml:space="preserve">
3. Mock funciona para testes unitários sem subir Vault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TSK-005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TSK-092  ·  5 pts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OpenTelemetry: tracing, métricas e logs correlacionados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Instrumentação automática para Express, TypeORM, BullMQ e HTTP outbound.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OTel SDK + auto-instrumentations</w:t>
            </w:r>
            <w:r>
              <w:rPr>
                <w:sz w:val="20"/>
                <w:szCs w:val="20"/>
              </w:rPr>
              <w:t xml:space="preserve">
• Resource attributes: service.name, service.version, deployment.environment</w:t>
            </w:r>
            <w:r>
              <w:rPr>
                <w:sz w:val="20"/>
                <w:szCs w:val="20"/>
              </w:rPr>
              <w:t xml:space="preserve">
• Trace ID propagado no logger (mesmo requestId)</w:t>
            </w:r>
            <w:r>
              <w:rPr>
                <w:sz w:val="20"/>
                <w:szCs w:val="20"/>
              </w:rPr>
              <w:t xml:space="preserve">
• Métricas custom: emissoes_total{cstat}, contingencia_ativa, latencia_sefaz</w:t>
            </w:r>
            <w:r>
              <w:rPr>
                <w:sz w:val="20"/>
                <w:szCs w:val="20"/>
              </w:rPr>
              <w:t xml:space="preserve">
• Exporters: OTLP HTTP (compatível com Tempo, Jaeger, Datadog)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Em ambiente local com docker (Tempo + Grafana), uma requisição HTTP aparece com spans de DB e fila</w:t>
            </w:r>
            <w:r>
              <w:rPr>
                <w:sz w:val="20"/>
                <w:szCs w:val="20"/>
              </w:rPr>
              <w:t xml:space="preserve">
2. Logs aparecem correlacionados ao trace no Grafana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TSK-005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TSK-093  ·  5 pts · I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Auditoria: entidade AuditLog e service centralizado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AuditLog imutável, append-only, com decorator/helper para registro em use cases.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Entidade AuditLog (companyId, userId, action, entityType, entityId, ipAddress, userAgent, payload, occurredAt)</w:t>
            </w:r>
            <w:r>
              <w:rPr>
                <w:sz w:val="20"/>
                <w:szCs w:val="20"/>
              </w:rPr>
              <w:t xml:space="preserve">
• Tabela append-only: revogar UPDATE/DELETE via política no Postgres</w:t>
            </w:r>
            <w:r>
              <w:rPr>
                <w:sz w:val="20"/>
                <w:szCs w:val="20"/>
              </w:rPr>
              <w:t xml:space="preserve">
• AuditService.record(action, context) com retry assíncrono via fila se falhar (não pode quebrar a operação principal)</w:t>
            </w:r>
            <w:r>
              <w:rPr>
                <w:sz w:val="20"/>
                <w:szCs w:val="20"/>
              </w:rPr>
              <w:t xml:space="preserve">
• Decorator @Audited('nfe.emit') opcional para use cases simples</w:t>
            </w:r>
            <w:r>
              <w:rPr>
                <w:sz w:val="20"/>
                <w:szCs w:val="20"/>
              </w:rPr>
              <w:t xml:space="preserve">
• Listagem com filtros para tela de auditoria do admin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Cada operação sensível gera 1 registro de auditoria</w:t>
            </w:r>
            <w:r>
              <w:rPr>
                <w:sz w:val="20"/>
                <w:szCs w:val="20"/>
              </w:rPr>
              <w:t xml:space="preserve">
2. Falha no AuditService não bloqueia a operação (degradação graciosa)</w:t>
            </w:r>
            <w:r>
              <w:rPr>
                <w:sz w:val="20"/>
                <w:szCs w:val="20"/>
              </w:rPr>
              <w:t xml:space="preserve">
3. Tentar UPDATE em audit_logs falha na política do banco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TSK-024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TSK-094  ·  3 pts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Notificações: entidade e mecanismo de inbox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Notification para inbox no header da UI (rejeições, alertas de certificado, etc.).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Entidade Notification (companyId, userId nullable, category, title, message, severity, link)</w:t>
            </w:r>
            <w:r>
              <w:rPr>
                <w:sz w:val="20"/>
                <w:szCs w:val="20"/>
              </w:rPr>
              <w:t xml:space="preserve">
• NotificationService.notify() chamado pelos use cases</w:t>
            </w:r>
            <w:r>
              <w:rPr>
                <w:sz w:val="20"/>
                <w:szCs w:val="20"/>
              </w:rPr>
              <w:t xml:space="preserve">
• Endpoint GET /notifications com paginação + count de não lidas</w:t>
            </w:r>
            <w:r>
              <w:rPr>
                <w:sz w:val="20"/>
                <w:szCs w:val="20"/>
              </w:rPr>
              <w:t xml:space="preserve">
• Endpoint PATCH /notifications/:id/read</w:t>
            </w:r>
            <w:r>
              <w:rPr>
                <w:sz w:val="20"/>
                <w:szCs w:val="20"/>
              </w:rPr>
              <w:t xml:space="preserve">
• Frontend: badge no header + drawer com lista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Faturista vê notificação de rejeição em tempo razoável (polling 30s ou WebSocket)</w:t>
            </w:r>
            <w:r>
              <w:rPr>
                <w:sz w:val="20"/>
                <w:szCs w:val="20"/>
              </w:rPr>
              <w:t xml:space="preserve">
2. Marcar como lida funciona; persistência em readAt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TSK-093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t xml:space="preserve">3. Fase 1a — Núcleo SEFAZ (NF-e modelo 55)</w:t>
      </w:r>
    </w:p>
    <w:p>
      <w:pPr>
        <w:spacing w:after="120" w:line="276"/>
      </w:pPr>
      <w:r>
        <w:t xml:space="preserve">A fase mais técnica e crítica do MVP. Implementa toda a comunicação com SEFAZ: composição do XML, validação local (XSD + regras das NTs), assinatura XML-DSig com canonicalização C14N, transmissão SOAP, tratamento de retornos, eventos e contingência. Esta é a parte do produto onde “quase certo” gera rejeições em massa — exige rigor e validação fiscal contínua.</w:t>
      </w:r>
    </w:p>
    <w:p>
      <w:pPr>
        <w:spacing w:after="120" w:line="276"/>
      </w:pPr>
      <w:r>
        <w:rPr>
          <w:b/>
          <w:bCs/>
        </w:rPr>
        <w:t xml:space="preserve">Critério de saída da fase: </w:t>
      </w:r>
      <w:r>
        <w:t xml:space="preserve">é possível emitir uma NF-e modelo 55 simples em ambiente de homologação da SEFAZ-SP, receber autorização (cStat 100), gerar DANFE e cancelar a nota dentro do prazo.</w:t>
      </w:r>
    </w:p>
    <w:p>
      <w:pPr>
        <w:pStyle w:val="Heading2"/>
        <w:spacing w:after="100" w:before="320"/>
      </w:pPr>
      <w:r>
        <w:t xml:space="preserve">EP-06 — Cliente SOAP SEFAZ e Custódia de Certificado</w:t>
      </w:r>
    </w:p>
    <w:p>
      <w:pPr>
        <w:spacing w:after="120" w:line="276"/>
      </w:pPr>
      <w:r>
        <w:rPr>
          <w:b/>
          <w:bCs/>
        </w:rPr>
        <w:t xml:space="preserve">Resumo. </w:t>
      </w:r>
      <w:r>
        <w:t xml:space="preserve">Camada de comunicação com web services oficiais por UF, e uso do certificado em cofre para assinatura.</w:t>
      </w: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Conteúdo: 4 tarefas · Total: 34 pontos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TSK-100  ·  8 pts · B F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Composição de XML da NF-e (schema 4.00 + RT 2025.002)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Builder programático que monta o XML respeitando o schema oficial vigente.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Usar xmlbuilder2 para composição</w:t>
            </w:r>
            <w:r>
              <w:rPr>
                <w:sz w:val="20"/>
                <w:szCs w:val="20"/>
              </w:rPr>
              <w:t xml:space="preserve">
• Mapeamento entidade → grupos do XML: ide, emit, dest, det (itens), total, transp, pag, infAdic</w:t>
            </w:r>
            <w:r>
              <w:rPr>
                <w:sz w:val="20"/>
                <w:szCs w:val="20"/>
              </w:rPr>
              <w:t xml:space="preserve">
• Tratamento de IBS/CBS/IS conforme RT 2025.002 (grupos novos por item + totais)</w:t>
            </w:r>
            <w:r>
              <w:rPr>
                <w:sz w:val="20"/>
                <w:szCs w:val="20"/>
              </w:rPr>
              <w:t xml:space="preserve">
• Validação contra XSD oficial via libxmljs (ou xmllint via subprocess)</w:t>
            </w:r>
            <w:r>
              <w:rPr>
                <w:sz w:val="20"/>
                <w:szCs w:val="20"/>
              </w:rPr>
              <w:t xml:space="preserve">
• Coleção de testes com XMLs gerados validados contra schema oficial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XML gerado para nota simples passa em validação XSD oficial</w:t>
            </w:r>
            <w:r>
              <w:rPr>
                <w:sz w:val="20"/>
                <w:szCs w:val="20"/>
              </w:rPr>
              <w:t xml:space="preserve">
2. XML com IBS/CBS preenchidos no modo ano-teste passa em validação</w:t>
            </w:r>
            <w:r>
              <w:rPr>
                <w:sz w:val="20"/>
                <w:szCs w:val="20"/>
              </w:rPr>
              <w:t xml:space="preserve">
3. Especialista revisa estrutura e assina off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TSK-071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TSK-101  ·  13 pts · B F I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Assinatura XML-DSig com canonicalização C14N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Assinatura do XML usando o certificado custodiado no cofre, com canonicalização correta — ponto mais sensível tecnicamente.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Usar xml-crypto com algoritmo RSA-SHA256</w:t>
            </w:r>
            <w:r>
              <w:rPr>
                <w:sz w:val="20"/>
                <w:szCs w:val="20"/>
              </w:rPr>
              <w:t xml:space="preserve">
• Canonicalização: Exclusive XML Canonicalization (C14N) — http://www.w3.org/2001/10/xml-exc-c14n#</w:t>
            </w:r>
            <w:r>
              <w:rPr>
                <w:sz w:val="20"/>
                <w:szCs w:val="20"/>
              </w:rPr>
              <w:t xml:space="preserve">
• Reference correta para o elemento &lt;infNFe&gt; com Id atribuído</w:t>
            </w:r>
            <w:r>
              <w:rPr>
                <w:sz w:val="20"/>
                <w:szCs w:val="20"/>
              </w:rPr>
              <w:t xml:space="preserve">
• Buscar certificado no cofre por companyId; usar PEM extraído do PKCS#12</w:t>
            </w:r>
            <w:r>
              <w:rPr>
                <w:sz w:val="20"/>
                <w:szCs w:val="20"/>
              </w:rPr>
              <w:t xml:space="preserve">
• Validar a assinatura própria após gerar (round-trip)</w:t>
            </w:r>
            <w:r>
              <w:rPr>
                <w:sz w:val="20"/>
                <w:szCs w:val="20"/>
              </w:rPr>
              <w:t xml:space="preserve">
• Tratamento de certificado A3 (HSM/token físico) — documentar limitações ou deferir para v2</w:t>
            </w:r>
            <w:r>
              <w:rPr>
                <w:sz w:val="20"/>
                <w:szCs w:val="20"/>
              </w:rPr>
              <w:t xml:space="preserve">
• Suite de testes com XMLs do MOC oficial (assinados de referência)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XML assinado pelo nosso código valida em ferramentas externas (xmlsec1 CLI)</w:t>
            </w:r>
            <w:r>
              <w:rPr>
                <w:sz w:val="20"/>
                <w:szCs w:val="20"/>
              </w:rPr>
              <w:t xml:space="preserve">
2. Round-trip: assinar → validar volta true</w:t>
            </w:r>
            <w:r>
              <w:rPr>
                <w:sz w:val="20"/>
                <w:szCs w:val="20"/>
              </w:rPr>
              <w:t xml:space="preserve">
3. Trocar 1 byte do XML após assinatura faz validação falhar</w:t>
            </w:r>
            <w:r>
              <w:rPr>
                <w:sz w:val="20"/>
                <w:szCs w:val="20"/>
              </w:rPr>
              <w:t xml:space="preserve">
4. Especialista fiscal valida pelo menos 5 XMLs gerados em homologação SEFAZ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TSK-100, TSK-091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TSK-102  ·  8 pts · B I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Cliente SOAP SEFAZ por UF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Adapter que sabe rotear chamadas para o web service correto por UF e ambiente.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Tabela de endpoints por UF (homologação + produção) — começar com SP, RS, MG, BA, AM cobrindo Sefaz Virtual também</w:t>
            </w:r>
            <w:r>
              <w:rPr>
                <w:sz w:val="20"/>
                <w:szCs w:val="20"/>
              </w:rPr>
              <w:t xml:space="preserve">
• Cliente HTTPS com mTLS (certificado do cliente + chave) — usa cert do cofre</w:t>
            </w:r>
            <w:r>
              <w:rPr>
                <w:sz w:val="20"/>
                <w:szCs w:val="20"/>
              </w:rPr>
              <w:t xml:space="preserve">
• Composição do envelope SOAP correto (nfeAutorizacao4, nfeRetAutorizacao4, etc.)</w:t>
            </w:r>
            <w:r>
              <w:rPr>
                <w:sz w:val="20"/>
                <w:szCs w:val="20"/>
              </w:rPr>
              <w:t xml:space="preserve">
• Timeout configurável; retry só em erros 5xx ou network (nunca em erro de negócio)</w:t>
            </w:r>
            <w:r>
              <w:rPr>
                <w:sz w:val="20"/>
                <w:szCs w:val="20"/>
              </w:rPr>
              <w:t xml:space="preserve">
• Persistência de SefazTransmission (request + response + status + duração)</w:t>
            </w:r>
            <w:r>
              <w:rPr>
                <w:sz w:val="20"/>
                <w:szCs w:val="20"/>
              </w:rPr>
              <w:t xml:space="preserve">
• Worker dedicado em fila nfe-emit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Status do serviço (cStat 107) consultado em homologação SP retorna sucesso</w:t>
            </w:r>
            <w:r>
              <w:rPr>
                <w:sz w:val="20"/>
                <w:szCs w:val="20"/>
              </w:rPr>
              <w:t xml:space="preserve">
2. Todas as chamadas geram registro em SefazTransmission</w:t>
            </w:r>
            <w:r>
              <w:rPr>
                <w:sz w:val="20"/>
                <w:szCs w:val="20"/>
              </w:rPr>
              <w:t xml:space="preserve">
3. Falhas transitórias têm retry; falhas permanentes não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TSK-101, TSK-090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TSK-103  ·  5 pts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Estratégia multi-UF: contingência SVC e roteamento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Quando SEFAZ da UF está fora, rotear para SVC-AN ou SVC-RS conforme regras.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Monitor de saúde das SEFAZ (consulta periódica de status)</w:t>
            </w:r>
            <w:r>
              <w:rPr>
                <w:sz w:val="20"/>
                <w:szCs w:val="20"/>
              </w:rPr>
              <w:t xml:space="preserve">
• Detecção de indisponibilidade: 3 falhas consecutivas ou cStat 999</w:t>
            </w:r>
            <w:r>
              <w:rPr>
                <w:sz w:val="20"/>
                <w:szCs w:val="20"/>
              </w:rPr>
              <w:t xml:space="preserve">
• Decisão automática de roteamento para SVC apropriada por UF</w:t>
            </w:r>
            <w:r>
              <w:rPr>
                <w:sz w:val="20"/>
                <w:szCs w:val="20"/>
              </w:rPr>
              <w:t xml:space="preserve">
• Marcar empresa em modo contingência e log de auditoria</w:t>
            </w:r>
            <w:r>
              <w:rPr>
                <w:sz w:val="20"/>
                <w:szCs w:val="20"/>
              </w:rPr>
              <w:t xml:space="preserve">
• Notificação aos faturistas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Simular SEFAZ-SP fora: emissão é redirecionada para SVC sem intervenção</w:t>
            </w:r>
            <w:r>
              <w:rPr>
                <w:sz w:val="20"/>
                <w:szCs w:val="20"/>
              </w:rPr>
              <w:t xml:space="preserve">
2. Quando SEFAZ volta, novas emissões usam endpoint normal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TSK-102</w:t>
            </w:r>
          </w:p>
        </w:tc>
      </w:tr>
    </w:tbl>
    <w:p>
      <w:pPr>
        <w:spacing w:after="140"/>
      </w:pPr>
    </w:p>
    <w:p>
      <w:pPr>
        <w:pStyle w:val="Heading2"/>
        <w:spacing w:after="100" w:before="320"/>
      </w:pPr>
      <w:r>
        <w:t xml:space="preserve">EP-07 — Emissão de NF-e: Use Case e Ciclo de Vida</w:t>
      </w:r>
    </w:p>
    <w:p>
      <w:pPr>
        <w:spacing w:after="120" w:line="276"/>
      </w:pPr>
      <w:r>
        <w:rPr>
          <w:b/>
          <w:bCs/>
        </w:rPr>
        <w:t xml:space="preserve">Resumo. </w:t>
      </w:r>
      <w:r>
        <w:t xml:space="preserve">Use case EmitirNFe end-to-end com idempotência, pré-validação, transmissão, tratamento de retorno e persistência.</w:t>
      </w: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Conteúdo: 6 tarefas · Total: 40 pontos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TSK-110  ·  8 pts · B F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Modelagem TypeORM: NFe, NFeItem, NFePagamento, NFeReferencia, NFeEvento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Entidades fiscais centrais com todos os campos da v1.3 do schema (DIFAL, ST, FCP, ICMS desonerado, IBS/CBS/IS).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5 entidades com decorators TypeORM + relações</w:t>
            </w:r>
            <w:r>
              <w:rPr>
                <w:sz w:val="20"/>
                <w:szCs w:val="20"/>
              </w:rPr>
              <w:t xml:space="preserve">
• Constraints: chaveAcesso única, (companyId,modelo,serie,numero) único, idempotencyKey único</w:t>
            </w:r>
            <w:r>
              <w:rPr>
                <w:sz w:val="20"/>
                <w:szCs w:val="20"/>
              </w:rPr>
              <w:t xml:space="preserve">
• Migration que cria tabelas com índices apropriados (dhEmissao, status, customerId)</w:t>
            </w:r>
            <w:r>
              <w:rPr>
                <w:sz w:val="20"/>
                <w:szCs w:val="20"/>
              </w:rPr>
              <w:t xml:space="preserve">
• Repositórios + interfaces no domain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Migration up + down testada</w:t>
            </w:r>
            <w:r>
              <w:rPr>
                <w:sz w:val="20"/>
                <w:szCs w:val="20"/>
              </w:rPr>
              <w:t xml:space="preserve">
2. Criar NFe com 50 itens e testar performance: &lt; 500ms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TSK-042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TSK-111  ·  8 pts · I F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Use case EmitirNFe com idempotência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Composição → motor tributário → validação local → assinatura → transmissão → tratamento.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Validação de entrada (cliente existe, produtos existem, regras vigentes, série válida)</w:t>
            </w:r>
            <w:r>
              <w:rPr>
                <w:sz w:val="20"/>
                <w:szCs w:val="20"/>
              </w:rPr>
              <w:t xml:space="preserve">
• Reserva transacional de numeração (lock pessimista em NumberingSeries)</w:t>
            </w:r>
            <w:r>
              <w:rPr>
                <w:sz w:val="20"/>
                <w:szCs w:val="20"/>
              </w:rPr>
              <w:t xml:space="preserve">
• idempotencyKey fornecida pelo cliente; se já existe NFe com essa key, retorna a existente</w:t>
            </w:r>
            <w:r>
              <w:rPr>
                <w:sz w:val="20"/>
                <w:szCs w:val="20"/>
              </w:rPr>
              <w:t xml:space="preserve">
• Encadeia: motor tributário → builder XML → validador XSD → assinador → cliente SOAP</w:t>
            </w:r>
            <w:r>
              <w:rPr>
                <w:sz w:val="20"/>
                <w:szCs w:val="20"/>
              </w:rPr>
              <w:t xml:space="preserve">
• Persiste NFe com status PROCESSING; atualiza para AUTHORIZED ou REJECTED conforme retorno</w:t>
            </w:r>
            <w:r>
              <w:rPr>
                <w:sz w:val="20"/>
                <w:szCs w:val="20"/>
              </w:rPr>
              <w:t xml:space="preserve">
• Em rejeição: persiste motivo, permite correção; não consome numeração se cStat for de rejeição definitiva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Emissão completa em homologação SP funciona fim a fim</w:t>
            </w:r>
            <w:r>
              <w:rPr>
                <w:sz w:val="20"/>
                <w:szCs w:val="20"/>
              </w:rPr>
              <w:t xml:space="preserve">
2. Mesma idempotencyKey enviada 3x retorna a mesma NFe (não duplica)</w:t>
            </w:r>
            <w:r>
              <w:rPr>
                <w:sz w:val="20"/>
                <w:szCs w:val="20"/>
              </w:rPr>
              <w:t xml:space="preserve">
3. Rejeição por dado inválido retorna mensagem traduzida ao cliente</w:t>
            </w:r>
            <w:r>
              <w:rPr>
                <w:sz w:val="20"/>
                <w:szCs w:val="20"/>
              </w:rPr>
              <w:t xml:space="preserve">
4. Em caso de timeout: nota fica PROCESSING e job de reconciliação resolve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TSK-110, TSK-102, TSK-072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TSK-112  ·  5 pts · I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Worker de reconciliação: notas PROCESSING não resolvidas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Job periódico que reconsulta SEFAZ para notas que ficaram em PROCESSING por mais de X minutos.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Cron job a cada 2 min: lista NFe com status PROCESSING há &gt; 1 min</w:t>
            </w:r>
            <w:r>
              <w:rPr>
                <w:sz w:val="20"/>
                <w:szCs w:val="20"/>
              </w:rPr>
              <w:t xml:space="preserve">
• Para cada uma: nfeConsultaProtocolo na SEFAZ pela chave</w:t>
            </w:r>
            <w:r>
              <w:rPr>
                <w:sz w:val="20"/>
                <w:szCs w:val="20"/>
              </w:rPr>
              <w:t xml:space="preserve">
• Atualiza status conforme retorno</w:t>
            </w:r>
            <w:r>
              <w:rPr>
                <w:sz w:val="20"/>
                <w:szCs w:val="20"/>
              </w:rPr>
              <w:t xml:space="preserve">
• Limite de tentativas antes de marcar ERROR e notificar humano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Cenário simulado: SEFAZ não responde no momento da emissão; nota fica PROCESSING; em 2 min é resolvida pela reconciliação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TSK-111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TSK-113  ·  8 pts · F I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Eventos: Cancelamento, CC-e, Inutilização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Use cases para cancelar dentro do prazo, emitir Carta de Correção e inutilizar faixa de numeração.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CancelarNFeUseCase: valida prazo (24h padrão), permissão, justificativa mín 15 chars</w:t>
            </w:r>
            <w:r>
              <w:rPr>
                <w:sz w:val="20"/>
                <w:szCs w:val="20"/>
              </w:rPr>
              <w:t xml:space="preserve">
• EmitirCCeUseCase: até 20 correções, valendo a última; campos corrigíveis conforme MOC</w:t>
            </w:r>
            <w:r>
              <w:rPr>
                <w:sz w:val="20"/>
                <w:szCs w:val="20"/>
              </w:rPr>
              <w:t xml:space="preserve">
• InutilizarNumeracaoUseCase: para inutilização de faixa não usada (justificativa)</w:t>
            </w:r>
            <w:r>
              <w:rPr>
                <w:sz w:val="20"/>
                <w:szCs w:val="20"/>
              </w:rPr>
              <w:t xml:space="preserve">
• Cada evento gera NFeEvento e atualiza NFe.status apropriadamente</w:t>
            </w:r>
            <w:r>
              <w:rPr>
                <w:sz w:val="20"/>
                <w:szCs w:val="20"/>
              </w:rPr>
              <w:t xml:space="preserve">
• Estornos automáticos no financeiro/estoque ao cancelar (gancho para EP-19/Fase 2)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Cancelamento dentro de 24h funciona; fora retorna erro orientando alternativas</w:t>
            </w:r>
            <w:r>
              <w:rPr>
                <w:sz w:val="20"/>
                <w:szCs w:val="20"/>
              </w:rPr>
              <w:t xml:space="preserve">
2. CC-e até 20: 21ª tentativa é bloqueada</w:t>
            </w:r>
            <w:r>
              <w:rPr>
                <w:sz w:val="20"/>
                <w:szCs w:val="20"/>
              </w:rPr>
              <w:t xml:space="preserve">
3. Inutilização funciona; faixa inutilizada não pode ser reusada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TSK-111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TSK-114  ·  3 pts · F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Eventos: Ator Interessado, Insucesso na Entrega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Eventos opcionais previstos no MOC.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AtorInteressadoUseCase: registra transportadora ou destinatário como ator</w:t>
            </w:r>
            <w:r>
              <w:rPr>
                <w:sz w:val="20"/>
                <w:szCs w:val="20"/>
              </w:rPr>
              <w:t xml:space="preserve">
• InsucessoEntregaUseCase: declara insucesso na entrega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Cada evento emite o XML correto e atualiza histórico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TSK-113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TSK-115  ·  8 pts · F I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Contingência EPEC: emitir, autorizar offline, reprocessar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Fluxo de Evento Prévio de Emissão em Contingência quando SEFAZ + SVC indisponíveis.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Modo contingência ativado manualmente pelo admin ou automaticamente</w:t>
            </w:r>
            <w:r>
              <w:rPr>
                <w:sz w:val="20"/>
                <w:szCs w:val="20"/>
              </w:rPr>
              <w:t xml:space="preserve">
• Emissão gera NFeEvento de EPEC e marca a nota com formaEmissao = CONTINGENCIA_EPEC</w:t>
            </w:r>
            <w:r>
              <w:rPr>
                <w:sz w:val="20"/>
                <w:szCs w:val="20"/>
              </w:rPr>
              <w:t xml:space="preserve">
• DANFE com tarja de contingência</w:t>
            </w:r>
            <w:r>
              <w:rPr>
                <w:sz w:val="20"/>
                <w:szCs w:val="20"/>
              </w:rPr>
              <w:t xml:space="preserve">
• Job de reprocessamento: tenta transmitir as notas em contingência quando SEFAZ volta</w:t>
            </w:r>
            <w:r>
              <w:rPr>
                <w:sz w:val="20"/>
                <w:szCs w:val="20"/>
              </w:rPr>
              <w:t xml:space="preserve">
• Saída de contingência: comando manual após confirmação que todas as notas pendentes foram transmitidas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Cenário simulado: SEFAZ + SVC fora → emissão funciona em modo EPEC → SEFAZ volta → notas são reprocessadas automaticamente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TSK-113, TSK-103</w:t>
            </w:r>
          </w:p>
        </w:tc>
      </w:tr>
    </w:tbl>
    <w:p>
      <w:pPr>
        <w:spacing w:after="140"/>
      </w:pPr>
    </w:p>
    <w:p>
      <w:pPr>
        <w:pStyle w:val="Heading2"/>
        <w:spacing w:after="100" w:before="320"/>
      </w:pPr>
      <w:r>
        <w:t xml:space="preserve">EP-08 — DANFE e Documentos Acessórios</w:t>
      </w:r>
    </w:p>
    <w:p>
      <w:pPr>
        <w:spacing w:after="120" w:line="276"/>
      </w:pPr>
      <w:r>
        <w:rPr>
          <w:b/>
          <w:bCs/>
        </w:rPr>
        <w:t xml:space="preserve">Resumo. </w:t>
      </w:r>
      <w:r>
        <w:t xml:space="preserve">Geração do DANFE em PDF, envio por e-mail e armazenamento dos artefatos.</w:t>
      </w: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Conteúdo: 3 tarefas · Total: 14 pontos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TSK-120  ·  8 pts · F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Template DANFE em React-PDF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DANFE conforme MOC vigente, com suporte a layouts adaptados para IBS/CBS/IS.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Setup @react-pdf/renderer no backend (renderToBuffer)</w:t>
            </w:r>
            <w:r>
              <w:rPr>
                <w:sz w:val="20"/>
                <w:szCs w:val="20"/>
              </w:rPr>
              <w:t xml:space="preserve">
• Componentes: Cabeçalho, EmitenteDestinatario, ItensTabela, Totais, TransporteFatura, AdicionaisFisco</w:t>
            </w:r>
            <w:r>
              <w:rPr>
                <w:sz w:val="20"/>
                <w:szCs w:val="20"/>
              </w:rPr>
              <w:t xml:space="preserve">
• Tratamento de paginação para notas com muitos itens</w:t>
            </w:r>
            <w:r>
              <w:rPr>
                <w:sz w:val="20"/>
                <w:szCs w:val="20"/>
              </w:rPr>
              <w:t xml:space="preserve">
• Código de barras da chave de acesso (lib bwip-js)</w:t>
            </w:r>
            <w:r>
              <w:rPr>
                <w:sz w:val="20"/>
                <w:szCs w:val="20"/>
              </w:rPr>
              <w:t xml:space="preserve">
• QR Code para consulta na SEFAZ</w:t>
            </w:r>
            <w:r>
              <w:rPr>
                <w:sz w:val="20"/>
                <w:szCs w:val="20"/>
              </w:rPr>
              <w:t xml:space="preserve">
• Tarja de contingência quando aplicável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DANFE de NF-e simples gera em &lt; 2s</w:t>
            </w:r>
            <w:r>
              <w:rPr>
                <w:sz w:val="20"/>
                <w:szCs w:val="20"/>
              </w:rPr>
              <w:t xml:space="preserve">
2. Layout validado contra modelos oficiais por especialista</w:t>
            </w:r>
            <w:r>
              <w:rPr>
                <w:sz w:val="20"/>
                <w:szCs w:val="20"/>
              </w:rPr>
              <w:t xml:space="preserve">
3. 100 itens: paginação correta, sem texto cortado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TSK-111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TSK-121  ·  3 pts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Armazenamento de XML e DANFE em object storage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Adapter para S3-compatible storage (S3, MinIO) com URLs assinadas para download.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Interface IDocumentStorage no domain</w:t>
            </w:r>
            <w:r>
              <w:rPr>
                <w:sz w:val="20"/>
                <w:szCs w:val="20"/>
              </w:rPr>
              <w:t xml:space="preserve">
• Implementação S3 com upload, getSignedUrl (TTL configurável)</w:t>
            </w:r>
            <w:r>
              <w:rPr>
                <w:sz w:val="20"/>
                <w:szCs w:val="20"/>
              </w:rPr>
              <w:t xml:space="preserve">
• Convenção de paths: /{companyId}/nfe/{ano}/{mes}/{chave}.xml e .pdf</w:t>
            </w:r>
            <w:r>
              <w:rPr>
                <w:sz w:val="20"/>
                <w:szCs w:val="20"/>
              </w:rPr>
              <w:t xml:space="preserve">
• MinIO no docker-compose para dev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Upload e geração de URL assinada (TTL 15min) funciona</w:t>
            </w:r>
            <w:r>
              <w:rPr>
                <w:sz w:val="20"/>
                <w:szCs w:val="20"/>
              </w:rPr>
              <w:t xml:space="preserve">
2. URL expirada retorna 403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TSK-008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TSK-122  ·  3 pts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Envio de XML + DANFE por e-mail ao destinatário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Após autorização, envio automático ou manual ao e-mail do cliente.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Adapter IMailer (SES, Mailgun, SMTP)</w:t>
            </w:r>
            <w:r>
              <w:rPr>
                <w:sz w:val="20"/>
                <w:szCs w:val="20"/>
              </w:rPr>
              <w:t xml:space="preserve">
• Template HTML básico com botões para download</w:t>
            </w:r>
            <w:r>
              <w:rPr>
                <w:sz w:val="20"/>
                <w:szCs w:val="20"/>
              </w:rPr>
              <w:t xml:space="preserve">
• Configuração por empresa: enviar automático ou exigir ação manual</w:t>
            </w:r>
            <w:r>
              <w:rPr>
                <w:sz w:val="20"/>
                <w:szCs w:val="20"/>
              </w:rPr>
              <w:t xml:space="preserve">
• Retry assíncrono em fila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E-mail chega com XML e DANFE anexados</w:t>
            </w:r>
            <w:r>
              <w:rPr>
                <w:sz w:val="20"/>
                <w:szCs w:val="20"/>
              </w:rPr>
              <w:t xml:space="preserve">
2. Falha de envio é retentada e notificada após esgotamento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TSK-120, TSK-121, TSK-090</w:t>
            </w:r>
          </w:p>
        </w:tc>
      </w:tr>
    </w:tbl>
    <w:p>
      <w:pPr>
        <w:spacing w:after="140"/>
      </w:pPr>
    </w:p>
    <w:p>
      <w:pPr>
        <w:pStyle w:val="Heading2"/>
        <w:spacing w:after="100" w:before="320"/>
      </w:pPr>
      <w:r>
        <w:t xml:space="preserve">EP-09 — Frontend Fiscal: Emissão de NF-e</w:t>
      </w:r>
    </w:p>
    <w:p>
      <w:pPr>
        <w:spacing w:after="120" w:line="276"/>
      </w:pPr>
      <w:r>
        <w:rPr>
          <w:b/>
          <w:bCs/>
        </w:rPr>
        <w:t xml:space="preserve">Resumo. </w:t>
      </w:r>
      <w:r>
        <w:t xml:space="preserve">Telas de composição, preview, emissão, listagem e ações de NF-e.</w:t>
      </w: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Conteúdo: 4 tarefas · Total: 28 pontos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TSK-130  ·  13 pts · E2E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Tela 'Nova NF-e': composição completa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Formulário em etapas (cliente → itens → frete/pagamento → totais) seguindo o fluxo crítico 2.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Step 1: seleção/cadastro rápido de cliente com validação fiscal inline</w:t>
            </w:r>
            <w:r>
              <w:rPr>
                <w:sz w:val="20"/>
                <w:szCs w:val="20"/>
              </w:rPr>
              <w:t xml:space="preserve">
• Step 2: tabela de itens com adicionar/remover/duplicar, busca de produtos com autocomplete</w:t>
            </w:r>
            <w:r>
              <w:rPr>
                <w:sz w:val="20"/>
                <w:szCs w:val="20"/>
              </w:rPr>
              <w:t xml:space="preserve">
• Pré-visualização tributária em tempo real (debounced 500ms; chama /tax/simulate)</w:t>
            </w:r>
            <w:r>
              <w:rPr>
                <w:sz w:val="20"/>
                <w:szCs w:val="20"/>
              </w:rPr>
              <w:t xml:space="preserve">
• Step 3: frete, pagamento (com suporte a múltiplos pagamentos), informações adicionais</w:t>
            </w:r>
            <w:r>
              <w:rPr>
                <w:sz w:val="20"/>
                <w:szCs w:val="20"/>
              </w:rPr>
              <w:t xml:space="preserve">
• Step 4: preview do DANFE + resumo de tributos + botão 'Emitir'</w:t>
            </w:r>
            <w:r>
              <w:rPr>
                <w:sz w:val="20"/>
                <w:szCs w:val="20"/>
              </w:rPr>
              <w:t xml:space="preserve">
• Validação inline com Zod; bloqueia avanço se inválido</w:t>
            </w:r>
            <w:r>
              <w:rPr>
                <w:sz w:val="20"/>
                <w:szCs w:val="20"/>
              </w:rPr>
              <w:t xml:space="preserve">
• Auto-save em rascunho a cada 30s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Faturista emite uma NF-e simples em menos de 3 min (UX validada)</w:t>
            </w:r>
            <w:r>
              <w:rPr>
                <w:sz w:val="20"/>
                <w:szCs w:val="20"/>
              </w:rPr>
              <w:t xml:space="preserve">
2. Tributação muda em tempo real ao adicionar/remover itens</w:t>
            </w:r>
            <w:r>
              <w:rPr>
                <w:sz w:val="20"/>
                <w:szCs w:val="20"/>
              </w:rPr>
              <w:t xml:space="preserve">
3. Rascunho recuperado após refresh do navegador</w:t>
            </w:r>
            <w:r>
              <w:rPr>
                <w:sz w:val="20"/>
                <w:szCs w:val="20"/>
              </w:rPr>
              <w:t xml:space="preserve">
4. E2E: emissão completa em homologação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TSK-111, TSK-072, TSK-045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TSK-131  ·  5 pts · E2E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Listagem de NF-e emitidas com filtros e ações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Tela /fiscal/nfe com filtros, status visual e ações contextuais.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Filtros: período, cliente, status, série, valor</w:t>
            </w:r>
            <w:r>
              <w:rPr>
                <w:sz w:val="20"/>
                <w:szCs w:val="20"/>
              </w:rPr>
              <w:t xml:space="preserve">
• Ordenação e paginação cursor-based</w:t>
            </w:r>
            <w:r>
              <w:rPr>
                <w:sz w:val="20"/>
                <w:szCs w:val="20"/>
              </w:rPr>
              <w:t xml:space="preserve">
• Ações por linha: ver detalhes, baixar XML, baixar DANFE, cancelar, CC-e, reenviar email</w:t>
            </w:r>
            <w:r>
              <w:rPr>
                <w:sz w:val="20"/>
                <w:szCs w:val="20"/>
              </w:rPr>
              <w:t xml:space="preserve">
• Visualização de status com cores semânticas (AUTHORIZED verde, REJECTED vermelho, etc.)</w:t>
            </w:r>
            <w:r>
              <w:rPr>
                <w:sz w:val="20"/>
                <w:szCs w:val="20"/>
              </w:rPr>
              <w:t xml:space="preserve">
• Export para Excel da listagem filtrada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Listar 10.000 NF-e: primeira página em &lt; 500ms</w:t>
            </w:r>
            <w:r>
              <w:rPr>
                <w:sz w:val="20"/>
                <w:szCs w:val="20"/>
              </w:rPr>
              <w:t xml:space="preserve">
2. Ações respeitam permissões (botão de cancelar não aparece para quem não tem nfe.cancel)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TSK-113, TSK-130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TSK-132  ·  5 pts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Tela de detalhes de NF-e + histórico de eventos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View completa: dados da nota, itens com tributação, eventos, timeline.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Tabs: Resumo, Itens, Tributação detalhada, Eventos (timeline), XML/DANFE</w:t>
            </w:r>
            <w:r>
              <w:rPr>
                <w:sz w:val="20"/>
                <w:szCs w:val="20"/>
              </w:rPr>
              <w:t xml:space="preserve">
• Botões de ação consistentes com a listagem</w:t>
            </w:r>
            <w:r>
              <w:rPr>
                <w:sz w:val="20"/>
                <w:szCs w:val="20"/>
              </w:rPr>
              <w:t xml:space="preserve">
• Memória de cálculo do motor tributário disponível em modo debug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Fiscal consegue auditar uma nota completa sem precisar consultar o banco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TSK-131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TSK-133  ·  5 pts · E2E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Modais de Cancelamento, CC-e e Inutilização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Diálogos com regras de prazo, justificativa e dupla confirmação.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Cancelamento: aviso se fora de prazo, sugestão de CC-e ou nota de ajuste</w:t>
            </w:r>
            <w:r>
              <w:rPr>
                <w:sz w:val="20"/>
                <w:szCs w:val="20"/>
              </w:rPr>
              <w:t xml:space="preserve">
• CC-e: contador de correções restantes, lista de campos permitidos</w:t>
            </w:r>
            <w:r>
              <w:rPr>
                <w:sz w:val="20"/>
                <w:szCs w:val="20"/>
              </w:rPr>
              <w:t xml:space="preserve">
• Inutilização: confirmação dupla, justificativa obrigatória</w:t>
            </w:r>
            <w:r>
              <w:rPr>
                <w:sz w:val="20"/>
                <w:szCs w:val="20"/>
              </w:rPr>
              <w:t xml:space="preserve">
• Toasts de sucesso/erro consistentes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Cada ação destrutiva exige confirmação explícita conforme o fluxo crítico 5</w:t>
            </w:r>
            <w:r>
              <w:rPr>
                <w:sz w:val="20"/>
                <w:szCs w:val="20"/>
              </w:rPr>
              <w:t xml:space="preserve">
2. E2E cobre os 3 cenários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TSK-113, TSK-131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t xml:space="preserve">4. Fase 1b — Recepção SEFAZ e NFS-e via Focus NF-e</w:t>
      </w:r>
    </w:p>
    <w:p>
      <w:pPr>
        <w:spacing w:after="120" w:line="276"/>
      </w:pPr>
      <w:r>
        <w:t xml:space="preserve">Completa o fluxo de entrada (notas contra o CNPJ via Distribuição de DF-e da SEFAZ) e o de saída de serviços (NFS-e Nacional e municipal via Focus). Ambos usam a camada anticorrupção definida em EP-05.</w:t>
      </w:r>
    </w:p>
    <w:p>
      <w:pPr>
        <w:spacing w:after="120" w:line="276"/>
      </w:pPr>
      <w:r>
        <w:rPr>
          <w:b/>
          <w:bCs/>
        </w:rPr>
        <w:t xml:space="preserve">Critério de saída: </w:t>
      </w:r>
      <w:r>
        <w:t xml:space="preserve">é possível receber automaticamente notas emitidas contra a empresa, manifestar-se sobre elas, escriturá-las gerando título a pagar; e emitir NFS-e em pelo menos um município pelo padrão nacional.</w:t>
      </w:r>
    </w:p>
    <w:p>
      <w:pPr>
        <w:pStyle w:val="Heading2"/>
        <w:spacing w:after="100" w:before="320"/>
      </w:pPr>
      <w:r>
        <w:t xml:space="preserve">EP-10 — Distribuição de DF-e da SEFAZ (Recepção)</w:t>
      </w:r>
    </w:p>
    <w:p>
      <w:pPr>
        <w:spacing w:after="120" w:line="276"/>
      </w:pPr>
      <w:r>
        <w:rPr>
          <w:b/>
          <w:bCs/>
        </w:rPr>
        <w:t xml:space="preserve">Resumo. </w:t>
      </w:r>
      <w:r>
        <w:t xml:space="preserve">Worker que consulta DF-e por NSU, persiste documentos recebidos e mantém cursor por CNPJ.</w:t>
      </w: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Conteúdo: 4 tarefas · Total: 16 pontos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TSK-140  ·  5 pts · B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Modelagem TypeORM: NsuCursor, ReceivedDocument, ReceivedDocumentVersion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Entidades para suportar a recepção incremental e versionamento de eventos posteriores.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NsuCursor: companyId + origem (sefaz_nfe_cte) + cursorValue</w:t>
            </w:r>
            <w:r>
              <w:rPr>
                <w:sz w:val="20"/>
                <w:szCs w:val="20"/>
              </w:rPr>
              <w:t xml:space="preserve">
• ReceivedDocument: chave, tipo (NFE/CTE/NFSE), emitente, valor, status, xml/resumo, origemCaptura</w:t>
            </w:r>
            <w:r>
              <w:rPr>
                <w:sz w:val="20"/>
                <w:szCs w:val="20"/>
              </w:rPr>
              <w:t xml:space="preserve">
• ReceivedDocumentVersion: histórico de mudanças (CCE, cancelamento posterior)</w:t>
            </w:r>
            <w:r>
              <w:rPr>
                <w:sz w:val="20"/>
                <w:szCs w:val="20"/>
              </w:rPr>
              <w:t xml:space="preserve">
• Constraint: chaveAcesso única por empresa</w:t>
            </w:r>
            <w:r>
              <w:rPr>
                <w:sz w:val="20"/>
                <w:szCs w:val="20"/>
              </w:rPr>
              <w:t xml:space="preserve">
• Migration + repositórios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CRUD via testes; constraint funciona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TSK-024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TSK-141  ·  5 pts · I F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Cliente SOAP: nfeDistribuicaoDFe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Implementar serviço de Distribuição de DF-e da SEFAZ com paginação por NSU.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Endpoint nfeDistribuicaoDFe (ambiente Nacional)</w:t>
            </w:r>
            <w:r>
              <w:rPr>
                <w:sz w:val="20"/>
                <w:szCs w:val="20"/>
              </w:rPr>
              <w:t xml:space="preserve">
• Payload com CNPJ + ultNSU; retorna até 50 documentos por chamada</w:t>
            </w:r>
            <w:r>
              <w:rPr>
                <w:sz w:val="20"/>
                <w:szCs w:val="20"/>
              </w:rPr>
              <w:t xml:space="preserve">
• Decodificação de schemaCompressao gzip + base64</w:t>
            </w:r>
            <w:r>
              <w:rPr>
                <w:sz w:val="20"/>
                <w:szCs w:val="20"/>
              </w:rPr>
              <w:t xml:space="preserve">
• Tratamento de cStat: 137 (documentos localizados), 138 (sem novidades), erros</w:t>
            </w:r>
            <w:r>
              <w:rPr>
                <w:sz w:val="20"/>
                <w:szCs w:val="20"/>
              </w:rPr>
              <w:t xml:space="preserve">
• Persistência de cada documento em ReceivedDocument</w:t>
            </w:r>
            <w:r>
              <w:rPr>
                <w:sz w:val="20"/>
                <w:szCs w:val="20"/>
              </w:rPr>
              <w:t xml:space="preserve">
• Atualização atômica do NsuCursor.cursorValue após processar lote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Em homologação SEFAZ, consulta por CNPJ retorna lista (mesmo que vazia)</w:t>
            </w:r>
            <w:r>
              <w:rPr>
                <w:sz w:val="20"/>
                <w:szCs w:val="20"/>
              </w:rPr>
              <w:t xml:space="preserve">
2. Cursor avança corretamente; reexecução não duplica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TSK-140, TSK-102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TSK-142  ·  3 pts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Worker agendado: distribuição periódica por empresa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Cron job que dispara consulta para cada empresa ativa a cada 15-30 min (configurável).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Trigger BullMQ repeatable por empresa</w:t>
            </w:r>
            <w:r>
              <w:rPr>
                <w:sz w:val="20"/>
                <w:szCs w:val="20"/>
              </w:rPr>
              <w:t xml:space="preserve">
• Configuração de intervalo por empresa (default 15 min)</w:t>
            </w:r>
            <w:r>
              <w:rPr>
                <w:sz w:val="20"/>
                <w:szCs w:val="20"/>
              </w:rPr>
              <w:t xml:space="preserve">
• Logs estruturados: documentos novos, NSU final</w:t>
            </w:r>
            <w:r>
              <w:rPr>
                <w:sz w:val="20"/>
                <w:szCs w:val="20"/>
              </w:rPr>
              <w:t xml:space="preserve">
• Notificação inbox quando há documentos novos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Em ambiente com fixture, worker roda, busca, persiste e notifica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TSK-141, TSK-094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TSK-143  ·  3 pts · I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Download do XML completo após manifestação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Primeiro a SEFAZ retorna resumo; XML completo só após manifestação. Implementar fetch sob demanda.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Endpoint nfeDistribuicaoDFe com chave específica + NSU</w:t>
            </w:r>
            <w:r>
              <w:rPr>
                <w:sz w:val="20"/>
                <w:szCs w:val="20"/>
              </w:rPr>
              <w:t xml:space="preserve">
• Atualizar ReceivedDocument.xmlCompleto</w:t>
            </w:r>
            <w:r>
              <w:rPr>
                <w:sz w:val="20"/>
                <w:szCs w:val="20"/>
              </w:rPr>
              <w:t xml:space="preserve">
• Trigger automático após manifestação bem-sucedida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Manifestar uma nota: XML completo é baixado automaticamente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TSK-141</w:t>
            </w:r>
          </w:p>
        </w:tc>
      </w:tr>
    </w:tbl>
    <w:p>
      <w:pPr>
        <w:spacing w:after="140"/>
      </w:pPr>
    </w:p>
    <w:p>
      <w:pPr>
        <w:pStyle w:val="Heading2"/>
        <w:spacing w:after="100" w:before="320"/>
      </w:pPr>
      <w:r>
        <w:t xml:space="preserve">EP-11 — Manifestação do Destinatário</w:t>
      </w:r>
    </w:p>
    <w:p>
      <w:pPr>
        <w:spacing w:after="120" w:line="276"/>
      </w:pPr>
      <w:r>
        <w:rPr>
          <w:b/>
          <w:bCs/>
        </w:rPr>
        <w:t xml:space="preserve">Resumo. </w:t>
      </w:r>
      <w:r>
        <w:t xml:space="preserve">Eventos de manifestação (ciência, confirmação, desconhecimento, operação não realizada) com prazos e auditoria.</w:t>
      </w: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Conteúdo: 2 tarefas · Total: 13 pontos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TSK-150  ·  5 pts · F I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Use case ManifestarDestinatario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Envio de evento à SEFAZ com tipo, justificativa quando aplicável e atualização do estado do recebido.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Composição do XML do evento (tpEvento por tipo de manifestação)</w:t>
            </w:r>
            <w:r>
              <w:rPr>
                <w:sz w:val="20"/>
                <w:szCs w:val="20"/>
              </w:rPr>
              <w:t xml:space="preserve">
• Assinatura com certificado da empresa que recebe</w:t>
            </w:r>
            <w:r>
              <w:rPr>
                <w:sz w:val="20"/>
                <w:szCs w:val="20"/>
              </w:rPr>
              <w:t xml:space="preserve">
• Transmissão via cliente SEFAZ</w:t>
            </w:r>
            <w:r>
              <w:rPr>
                <w:sz w:val="20"/>
                <w:szCs w:val="20"/>
              </w:rPr>
              <w:t xml:space="preserve">
• Validação de prazo (180 dias para ciência; outros variam)</w:t>
            </w:r>
            <w:r>
              <w:rPr>
                <w:sz w:val="20"/>
                <w:szCs w:val="20"/>
              </w:rPr>
              <w:t xml:space="preserve">
• Atualização de ReceivedDocument com status e DfeManifestation com retorno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Manifestar uma nota em homologação SEFAZ funciona para os 4 tipos</w:t>
            </w:r>
            <w:r>
              <w:rPr>
                <w:sz w:val="20"/>
                <w:szCs w:val="20"/>
              </w:rPr>
              <w:t xml:space="preserve">
2. Manifestar fora do prazo retorna erro orientado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TSK-142, TSK-101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TSK-151  ·  8 pts · E2E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Frontend: Inbox de notas recebidas + manifestação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Tela /fiscal/recebidas com lista, filtros e diálogos de manifestação.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Listagem com filtros: pendentes de manifestação, manifestadas, escrituradas</w:t>
            </w:r>
            <w:r>
              <w:rPr>
                <w:sz w:val="20"/>
                <w:szCs w:val="20"/>
              </w:rPr>
              <w:t xml:space="preserve">
• Visualização do XML/DANFE da nota recebida</w:t>
            </w:r>
            <w:r>
              <w:rPr>
                <w:sz w:val="20"/>
                <w:szCs w:val="20"/>
              </w:rPr>
              <w:t xml:space="preserve">
• Modal de manifestação com 4 opções e campos contextuais</w:t>
            </w:r>
            <w:r>
              <w:rPr>
                <w:sz w:val="20"/>
                <w:szCs w:val="20"/>
              </w:rPr>
              <w:t xml:space="preserve">
• Indicador visual de prazo restante (verde &gt; 30d, amarelo 7-30d, vermelho &lt; 7d)</w:t>
            </w:r>
            <w:r>
              <w:rPr>
                <w:sz w:val="20"/>
                <w:szCs w:val="20"/>
              </w:rPr>
              <w:t xml:space="preserve">
• Ação em lote: ciência para múltiplas notas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Comprador identifica e manifesta uma nota em &lt; 1 min</w:t>
            </w:r>
            <w:r>
              <w:rPr>
                <w:sz w:val="20"/>
                <w:szCs w:val="20"/>
              </w:rPr>
              <w:t xml:space="preserve">
2. E2E: receber → ciência → confirmar operação → ver XML completo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TSK-150</w:t>
            </w:r>
          </w:p>
        </w:tc>
      </w:tr>
    </w:tbl>
    <w:p>
      <w:pPr>
        <w:spacing w:after="140"/>
      </w:pPr>
    </w:p>
    <w:p>
      <w:pPr>
        <w:pStyle w:val="Heading2"/>
        <w:spacing w:after="100" w:before="320"/>
      </w:pPr>
      <w:r>
        <w:t xml:space="preserve">EP-12 — Importação por XML/PDF e Conferência com Pedido</w:t>
      </w:r>
    </w:p>
    <w:p>
      <w:pPr>
        <w:spacing w:after="120" w:line="276"/>
      </w:pPr>
      <w:r>
        <w:rPr>
          <w:b/>
          <w:bCs/>
        </w:rPr>
        <w:t xml:space="preserve">Resumo. </w:t>
      </w:r>
      <w:r>
        <w:t xml:space="preserve">Importação manual quando captura automática não cobre, com extração de dados de PDF.</w:t>
      </w: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Conteúdo: 3 tarefas · Total: 16 pontos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TSK-160  ·  3 pts · I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Upload de XML único e em lote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Upload de XMLs (drag-drop ou seletor) com validação e deduplicação.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Endpoint POST /received/upload-xml com multipart</w:t>
            </w:r>
            <w:r>
              <w:rPr>
                <w:sz w:val="20"/>
                <w:szCs w:val="20"/>
              </w:rPr>
              <w:t xml:space="preserve">
• Parser fast-xml-parser; valida estrutura mínima</w:t>
            </w:r>
            <w:r>
              <w:rPr>
                <w:sz w:val="20"/>
                <w:szCs w:val="20"/>
              </w:rPr>
              <w:t xml:space="preserve">
• Deduplicação por chave de acesso; se já existe, atualiza</w:t>
            </w:r>
            <w:r>
              <w:rPr>
                <w:sz w:val="20"/>
                <w:szCs w:val="20"/>
              </w:rPr>
              <w:t xml:space="preserve">
• Lote: processar em fila para arquivos &gt; 10 XMLs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Upload de ZIP com 50 XMLs processa em background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TSK-140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TSK-161  ·  8 pts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Extração de dados de DANFE em PDF (OCR + heurística)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Extrair chave de acesso e dados básicos de PDF de DANFE; quando há chave, prioriza fetch do XML real.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Lib pdf-parse + tesseract.js para PDFs escaneados</w:t>
            </w:r>
            <w:r>
              <w:rPr>
                <w:sz w:val="20"/>
                <w:szCs w:val="20"/>
              </w:rPr>
              <w:t xml:space="preserve">
• Heurísticas para extrair chave (44 dígitos, padrão visual)</w:t>
            </w:r>
            <w:r>
              <w:rPr>
                <w:sz w:val="20"/>
                <w:szCs w:val="20"/>
              </w:rPr>
              <w:t xml:space="preserve">
• Quando chave detectada: tenta buscar XML na SEFAZ via consulta avulsa (se config permitir)</w:t>
            </w:r>
            <w:r>
              <w:rPr>
                <w:sz w:val="20"/>
                <w:szCs w:val="20"/>
              </w:rPr>
              <w:t xml:space="preserve">
• Quando não há chave: extração best-effort com revisão manual obrigatória</w:t>
            </w:r>
            <w:r>
              <w:rPr>
                <w:sz w:val="20"/>
                <w:szCs w:val="20"/>
              </w:rPr>
              <w:t xml:space="preserve">
• Tela de revisão dos dados extraídos antes de persistir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DANFE digital: chave extraída automaticamente em &gt; 90% dos casos</w:t>
            </w:r>
            <w:r>
              <w:rPr>
                <w:sz w:val="20"/>
                <w:szCs w:val="20"/>
              </w:rPr>
              <w:t xml:space="preserve">
2. PDF escaneado: extração funciona com OCR (mais lenta, com loading)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TSK-160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TSK-162  ·  5 pts · E2E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Vínculo com pedido de compra e conferência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Para notas recebidas, vincular ao pedido (manual ou automático por fornecedor + valor) e conferir item a item.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Match automático: mesmo fornecedor + valor total compatível ± 1%</w:t>
            </w:r>
            <w:r>
              <w:rPr>
                <w:sz w:val="20"/>
                <w:szCs w:val="20"/>
              </w:rPr>
              <w:t xml:space="preserve">
• Match manual quando automático falha (busca de pedidos abertos)</w:t>
            </w:r>
            <w:r>
              <w:rPr>
                <w:sz w:val="20"/>
                <w:szCs w:val="20"/>
              </w:rPr>
              <w:t xml:space="preserve">
• Tela de conferência item-a-item com destaque de divergências</w:t>
            </w:r>
            <w:r>
              <w:rPr>
                <w:sz w:val="20"/>
                <w:szCs w:val="20"/>
              </w:rPr>
              <w:t xml:space="preserve">
• Aprovação por alçada quando divergência &gt; limite configurável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Match automático funciona em &gt; 70% dos casos</w:t>
            </w:r>
            <w:r>
              <w:rPr>
                <w:sz w:val="20"/>
                <w:szCs w:val="20"/>
              </w:rPr>
              <w:t xml:space="preserve">
2. Conferência manual leva &lt; 2 min para nota típica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TSK-161</w:t>
            </w:r>
          </w:p>
        </w:tc>
      </w:tr>
    </w:tbl>
    <w:p>
      <w:pPr>
        <w:spacing w:after="140"/>
      </w:pPr>
    </w:p>
    <w:p>
      <w:pPr>
        <w:pStyle w:val="Heading2"/>
        <w:spacing w:after="100" w:before="320"/>
      </w:pPr>
      <w:r>
        <w:t xml:space="preserve">EP-13 — Cliente Focus NF-e e Camada Anticorrupção</w:t>
      </w:r>
    </w:p>
    <w:p>
      <w:pPr>
        <w:spacing w:after="120" w:line="276"/>
      </w:pPr>
      <w:r>
        <w:rPr>
          <w:b/>
          <w:bCs/>
        </w:rPr>
        <w:t xml:space="preserve">Resumo. </w:t>
      </w:r>
      <w:r>
        <w:t xml:space="preserve">Adapter REST Focus, gestão de webhook, idempotência e abstração da emissão de NFS-e.</w:t>
      </w: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Conteúdo: 4 tarefas · Total: 14 pontos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TSK-170  ·  3 pts · I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Cliente HTTP Focus NF-e com retry, timeout e logging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Cliente axios/undici instrumentado, com token do cofre e auditoria via FocusRequest.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FocusHttpClient com baseURL por ambiente (homologação/produção)</w:t>
            </w:r>
            <w:r>
              <w:rPr>
                <w:sz w:val="20"/>
                <w:szCs w:val="20"/>
              </w:rPr>
              <w:t xml:space="preserve">
• Bearer token recuperado do cofre por empresa</w:t>
            </w:r>
            <w:r>
              <w:rPr>
                <w:sz w:val="20"/>
                <w:szCs w:val="20"/>
              </w:rPr>
              <w:t xml:space="preserve">
• Retry exponencial em 5xx e network errors (não em 4xx)</w:t>
            </w:r>
            <w:r>
              <w:rPr>
                <w:sz w:val="20"/>
                <w:szCs w:val="20"/>
              </w:rPr>
              <w:t xml:space="preserve">
• Timeout configurável (default 30s)</w:t>
            </w:r>
            <w:r>
              <w:rPr>
                <w:sz w:val="20"/>
                <w:szCs w:val="20"/>
              </w:rPr>
              <w:t xml:space="preserve">
• Persistência em FocusRequest de cada chamada</w:t>
            </w:r>
            <w:r>
              <w:rPr>
                <w:sz w:val="20"/>
                <w:szCs w:val="20"/>
              </w:rPr>
              <w:t xml:space="preserve">
• Tratamento de redirecionamento 302 para download de XML/PDF (URL pré-assinada)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Chamadas autenticadas funcionam em homologação Focus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TSK-091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TSK-171  ·  3 pts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Provisionamento de empresa na Focus (com dry-run)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Use case ProvisionarEmpresaFocusUseCase chamando API de Empresas com simulação primeiro.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Primeiro chama dry_run=true; valida resposta</w:t>
            </w:r>
            <w:r>
              <w:rPr>
                <w:sz w:val="20"/>
                <w:szCs w:val="20"/>
              </w:rPr>
              <w:t xml:space="preserve">
• Se OK, chama com dry_run=false</w:t>
            </w:r>
            <w:r>
              <w:rPr>
                <w:sz w:val="20"/>
                <w:szCs w:val="20"/>
              </w:rPr>
              <w:t xml:space="preserve">
• Persiste token gerado em IntegrationCredential (cofre)</w:t>
            </w:r>
            <w:r>
              <w:rPr>
                <w:sz w:val="20"/>
                <w:szCs w:val="20"/>
              </w:rPr>
              <w:t xml:space="preserve">
• Idempotente: se empresa já existe na Focus, busca e atualiza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Onboarding de empresa cria empresa na Focus em homologação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TSK-170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TSK-172  ·  5 pts · I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Receptor de webhooks Focus (autenticado + idempotente)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Endpoint público que recebe eventos da Focus, valida assinatura, processa de forma idempotente.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Endpoint POST /webhooks/focus-nfe (sem auth JWT; auth por HMAC)</w:t>
            </w:r>
            <w:r>
              <w:rPr>
                <w:sz w:val="20"/>
                <w:szCs w:val="20"/>
              </w:rPr>
              <w:t xml:space="preserve">
• Validação de assinatura HMAC com segredo armazenado em Webhook.secret</w:t>
            </w:r>
            <w:r>
              <w:rPr>
                <w:sz w:val="20"/>
                <w:szCs w:val="20"/>
              </w:rPr>
              <w:t xml:space="preserve">
• Persistência em WebhookEvent com dedupe por (source, externalEventId)</w:t>
            </w:r>
            <w:r>
              <w:rPr>
                <w:sz w:val="20"/>
                <w:szCs w:val="20"/>
              </w:rPr>
              <w:t xml:space="preserve">
• Processamento assíncrono via fila</w:t>
            </w:r>
            <w:r>
              <w:rPr>
                <w:sz w:val="20"/>
                <w:szCs w:val="20"/>
              </w:rPr>
              <w:t xml:space="preserve">
• Retorna 200 mesmo em duplicata (Focus não reenvia o mesmo)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Webhook autêntico é processado; signature inválida retorna 401</w:t>
            </w:r>
            <w:r>
              <w:rPr>
                <w:sz w:val="20"/>
                <w:szCs w:val="20"/>
              </w:rPr>
              <w:t xml:space="preserve">
2. Mesmo eventId enviado 3x produz 1 efeito apenas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TSK-090, TSK-093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TSK-173  ·  3 pts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Fallback de polling para webhooks perdidos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Job periódico que reconsulta status de documentos NFS-e em PROCESSING há muito tempo.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Cron 5 min: lista NFS-e PROCESSING &gt; 5 min</w:t>
            </w:r>
            <w:r>
              <w:rPr>
                <w:sz w:val="20"/>
                <w:szCs w:val="20"/>
              </w:rPr>
              <w:t xml:space="preserve">
• Consulta Focus por ID/chave; atualiza status</w:t>
            </w:r>
            <w:r>
              <w:rPr>
                <w:sz w:val="20"/>
                <w:szCs w:val="20"/>
              </w:rPr>
              <w:t xml:space="preserve">
• Após N falhas: notifica humano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Webhook propositalmente derrubado: nota é resolvida via polling em até 10 min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TSK-172</w:t>
            </w:r>
          </w:p>
        </w:tc>
      </w:tr>
    </w:tbl>
    <w:p>
      <w:pPr>
        <w:spacing w:after="140"/>
      </w:pPr>
    </w:p>
    <w:p>
      <w:pPr>
        <w:pStyle w:val="Heading2"/>
        <w:spacing w:after="100" w:before="320"/>
      </w:pPr>
      <w:r>
        <w:t xml:space="preserve">EP-14 — Emissão de NFS-e (Nacional e Municipal)</w:t>
      </w:r>
    </w:p>
    <w:p>
      <w:pPr>
        <w:spacing w:after="120" w:line="276"/>
      </w:pPr>
      <w:r>
        <w:rPr>
          <w:b/>
          <w:bCs/>
        </w:rPr>
        <w:t xml:space="preserve">Resumo. </w:t>
      </w:r>
      <w:r>
        <w:t xml:space="preserve">Use cases e UI para emitir NFS-e via Focus, roteando entre padrão nacional e municipal.</w:t>
      </w: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Conteúdo: 4 tarefas · Total: 26 pontos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TSK-180  ·  5 pts · B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Modelagem TypeORM: NFSe, NFSeItem, NFSeEvento, FocusRequest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Entidades fiscais para serviços.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Todos os campos da v1.3 (caminhoEmissao, padraoNacional, IBS/CBS, retenções, cIndOp, indZfmAlc)</w:t>
            </w:r>
            <w:r>
              <w:rPr>
                <w:sz w:val="20"/>
                <w:szCs w:val="20"/>
              </w:rPr>
              <w:t xml:space="preserve">
• FocusRequest para auditoria de chamadas</w:t>
            </w:r>
            <w:r>
              <w:rPr>
                <w:sz w:val="20"/>
                <w:szCs w:val="20"/>
              </w:rPr>
              <w:t xml:space="preserve">
• Migrations e repositórios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CRUD e constraints testados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TSK-043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TSK-181  ·  8 pts · F I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Use case EmitirNFSe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Composição → motor tributário → roteamento (Nacional × municipal) → submissão à Focus → tratamento de retorno.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Resolver caminho: consulta tabela de municípios migrados (mantida pela Focus, cacheada)</w:t>
            </w:r>
            <w:r>
              <w:rPr>
                <w:sz w:val="20"/>
                <w:szCs w:val="20"/>
              </w:rPr>
              <w:t xml:space="preserve">
• Composição DPS para Nacional ou payload municipal específico</w:t>
            </w:r>
            <w:r>
              <w:rPr>
                <w:sz w:val="20"/>
                <w:szCs w:val="20"/>
              </w:rPr>
              <w:t xml:space="preserve">
• Submissão à Focus com idempotencyKey</w:t>
            </w:r>
            <w:r>
              <w:rPr>
                <w:sz w:val="20"/>
                <w:szCs w:val="20"/>
              </w:rPr>
              <w:t xml:space="preserve">
• Persistência em NFSe com status PROCESSING</w:t>
            </w:r>
            <w:r>
              <w:rPr>
                <w:sz w:val="20"/>
                <w:szCs w:val="20"/>
              </w:rPr>
              <w:t xml:space="preserve">
• Atualização via webhook (TSK-172) ou polling (TSK-173)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Emissão em homologação Focus funciona para pelo menos 3 municípios diferentes</w:t>
            </w:r>
            <w:r>
              <w:rPr>
                <w:sz w:val="20"/>
                <w:szCs w:val="20"/>
              </w:rPr>
              <w:t xml:space="preserve">
2. Roteamento correto Nacional × municipal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TSK-180, TSK-070, TSK-172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TSK-182  ·  5 pts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Eventos NFS-e: Cancelamento e Substituição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Eventos suportados pela Focus para NFS-e.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Cancelamento com motivo e prazo por município</w:t>
            </w:r>
            <w:r>
              <w:rPr>
                <w:sz w:val="20"/>
                <w:szCs w:val="20"/>
              </w:rPr>
              <w:t xml:space="preserve">
• Substituição quando município permite</w:t>
            </w:r>
            <w:r>
              <w:rPr>
                <w:sz w:val="20"/>
                <w:szCs w:val="20"/>
              </w:rPr>
              <w:t xml:space="preserve">
• Atualização de NFSe.status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Cancelamento funciona em homologação para municípios que suportam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TSK-181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TSK-183  ·  8 pts · E2E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Frontend: Emissão e listagem de NFS-e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Telas análogas às de NF-e, adaptadas para serviços.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Composição: tomador, serviços (discriminação livre + itens), preview tributário</w:t>
            </w:r>
            <w:r>
              <w:rPr>
                <w:sz w:val="20"/>
                <w:szCs w:val="20"/>
              </w:rPr>
              <w:t xml:space="preserve">
• Listagem com filtros, ações (cancelar, baixar DANFSe)</w:t>
            </w:r>
            <w:r>
              <w:rPr>
                <w:sz w:val="20"/>
                <w:szCs w:val="20"/>
              </w:rPr>
              <w:t xml:space="preserve">
• Indicação visual do município/caminho de emissão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Faturista emite NFS-e em &lt; 3 min</w:t>
            </w:r>
            <w:r>
              <w:rPr>
                <w:sz w:val="20"/>
                <w:szCs w:val="20"/>
              </w:rPr>
              <w:t xml:space="preserve">
2. E2E em homologação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TSK-181, TSK-130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t xml:space="preserve">5. Fase 1c — MVP Fiscal Completo</w:t>
      </w:r>
    </w:p>
    <w:p>
      <w:pPr>
        <w:spacing w:after="120" w:line="276"/>
      </w:pPr>
      <w:r>
        <w:t xml:space="preserve">Fecha o MVP com relatórios mensais fiscais, apuração assistida e dashboard inicial. Após esta fase, o produto está pronto para operação real no ano-teste 2026.</w:t>
      </w:r>
    </w:p>
    <w:p>
      <w:pPr>
        <w:spacing w:after="120" w:line="276"/>
      </w:pPr>
      <w:r>
        <w:rPr>
          <w:b/>
          <w:bCs/>
        </w:rPr>
        <w:t xml:space="preserve">Critério de saída: </w:t>
      </w:r>
      <w:r>
        <w:t xml:space="preserve">usuário consegue executar o fechamento mensal completo (checklist → manifestações pendentes → escrituração → apuração → relatórios → exportação para contabilidade) seguindo o fluxograma 7.</w:t>
      </w:r>
    </w:p>
    <w:p>
      <w:pPr>
        <w:pStyle w:val="Heading2"/>
        <w:spacing w:after="100" w:before="320"/>
      </w:pPr>
      <w:r>
        <w:t xml:space="preserve">EP-15 — Relatórios Fiscais Mensais</w:t>
      </w:r>
    </w:p>
    <w:p>
      <w:pPr>
        <w:spacing w:after="120" w:line="276"/>
      </w:pPr>
      <w:r>
        <w:rPr>
          <w:b/>
          <w:bCs/>
        </w:rPr>
        <w:t xml:space="preserve">Resumo. </w:t>
      </w:r>
      <w:r>
        <w:t xml:space="preserve">Mapas de entradas, saídas, serviços, apuração IBS/CBS e divergências fiscais.</w:t>
      </w: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Conteúdo: 7 tarefas · Total: 34 pontos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TSK-190  ·  5 pts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Service de relatórios + query builder genérico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Camada de relatórios com query builder seguro e cacheável.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ReportService com método generate(reportId, filters)</w:t>
            </w:r>
            <w:r>
              <w:rPr>
                <w:sz w:val="20"/>
                <w:szCs w:val="20"/>
              </w:rPr>
              <w:t xml:space="preserve">
• Filtros padronizados: período, empresa, filial, tributo</w:t>
            </w:r>
            <w:r>
              <w:rPr>
                <w:sz w:val="20"/>
                <w:szCs w:val="20"/>
              </w:rPr>
              <w:t xml:space="preserve">
• Queries otimizadas com índices apropriados</w:t>
            </w:r>
            <w:r>
              <w:rPr>
                <w:sz w:val="20"/>
                <w:szCs w:val="20"/>
              </w:rPr>
              <w:t xml:space="preserve">
• Cache de 5 min por (reportId, filters hash)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Framework testado com 1 relatório piloto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TSK-111, TSK-180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TSK-191  ·  5 pts · F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Relatório: Mapa de Entradas (Mensal)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Notas de entrada + serviços tomados, por CFOP, fornecedor, tributo, com créditos apropriados.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Query agregada com totais por dimensão</w:t>
            </w:r>
            <w:r>
              <w:rPr>
                <w:sz w:val="20"/>
                <w:szCs w:val="20"/>
              </w:rPr>
              <w:t xml:space="preserve">
• Exportação em PDF (pdfkit) e XLSX (exceljs)</w:t>
            </w:r>
            <w:r>
              <w:rPr>
                <w:sz w:val="20"/>
                <w:szCs w:val="20"/>
              </w:rPr>
              <w:t xml:space="preserve">
• Coluna especial de créditos IBS/CBS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Relatório bate com soma manual de notas em ambiente de teste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TSK-190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TSK-192  ·  5 pts · F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Relatório: Mapa de Saídas (Mensal)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NF-e e NFS-e emitidas, por natureza, cliente, tributo, com débitos gerados.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Análogo ao de entradas, adaptado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Validação fiscal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TSK-190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TSK-193  ·  3 pts · F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Relatório: Serviços Prestados e Tomados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Detalhamento por item da lista de serviços, com retenções.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Foco em retenções ISS, IBS/CBS, PIS/COFINS/CSLL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Validação fiscal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TSK-190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TSK-194  ·  8 pts · F I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Apuração Assistida de IBS/CBS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Demonstrativo de débitos × créditos do período, saldo, memória de cálculo por documento.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Cálculo de débitos: somatório por tributo das saídas</w:t>
            </w:r>
            <w:r>
              <w:rPr>
                <w:sz w:val="20"/>
                <w:szCs w:val="20"/>
              </w:rPr>
              <w:t xml:space="preserve">
• Cálculo de créditos: somatório das entradas escrituradas</w:t>
            </w:r>
            <w:r>
              <w:rPr>
                <w:sz w:val="20"/>
                <w:szCs w:val="20"/>
              </w:rPr>
              <w:t xml:space="preserve">
• Saldo: débito - crédito; identificar a recolher ou a restituir</w:t>
            </w:r>
            <w:r>
              <w:rPr>
                <w:sz w:val="20"/>
                <w:szCs w:val="20"/>
              </w:rPr>
              <w:t xml:space="preserve">
• Memória de cálculo: lista cada NFe que compõe o total</w:t>
            </w:r>
            <w:r>
              <w:rPr>
                <w:sz w:val="20"/>
                <w:szCs w:val="20"/>
              </w:rPr>
              <w:t xml:space="preserve">
• Modo ano-teste 2026: marca como 'simbólico, sem recolhimento'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Apuração de mês com 100 NFe roda em &lt; 5s</w:t>
            </w:r>
            <w:r>
              <w:rPr>
                <w:sz w:val="20"/>
                <w:szCs w:val="20"/>
              </w:rPr>
              <w:t xml:space="preserve">
2. Especialista valida o memorial contra apuração manual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TSK-191, TSK-192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TSK-195  ·  3 pts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Relatório de Divergências Fiscais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Notas capturadas sem escrituração, sem manifestação, ou com CST/cClassTrib incompletos.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Query identificando os 3 tipos de divergência</w:t>
            </w:r>
            <w:r>
              <w:rPr>
                <w:sz w:val="20"/>
                <w:szCs w:val="20"/>
              </w:rPr>
              <w:t xml:space="preserve">
• Drill-down: clicar abre o documento problemático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Aparece no painel de fechamento mensal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TSK-191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TSK-196  ·  5 pts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Frontend: Página de Relatórios com filtros e download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Tela única para listar e gerar relatórios com filtros parametrizados.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Lista de relatórios disponíveis com descrição</w:t>
            </w:r>
            <w:r>
              <w:rPr>
                <w:sz w:val="20"/>
                <w:szCs w:val="20"/>
              </w:rPr>
              <w:t xml:space="preserve">
• Filtros dinâmicos por relatório</w:t>
            </w:r>
            <w:r>
              <w:rPr>
                <w:sz w:val="20"/>
                <w:szCs w:val="20"/>
              </w:rPr>
              <w:t xml:space="preserve">
• Download em PDF ou XLSX</w:t>
            </w:r>
            <w:r>
              <w:rPr>
                <w:sz w:val="20"/>
                <w:szCs w:val="20"/>
              </w:rPr>
              <w:t xml:space="preserve">
• Histórico de gerações por usuário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Fiscal gera os 5 relatórios principais em &lt; 2 min cada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TSK-191, TSK-192, TSK-193, TSK-194, TSK-195</w:t>
            </w:r>
          </w:p>
        </w:tc>
      </w:tr>
    </w:tbl>
    <w:p>
      <w:pPr>
        <w:spacing w:after="140"/>
      </w:pPr>
    </w:p>
    <w:p>
      <w:pPr>
        <w:pStyle w:val="Heading2"/>
        <w:spacing w:after="100" w:before="320"/>
      </w:pPr>
      <w:r>
        <w:t xml:space="preserve">EP-16 — Fluxo de Fechamento Mensal</w:t>
      </w:r>
    </w:p>
    <w:p>
      <w:pPr>
        <w:spacing w:after="120" w:line="276"/>
      </w:pPr>
      <w:r>
        <w:rPr>
          <w:b/>
          <w:bCs/>
        </w:rPr>
        <w:t xml:space="preserve">Resumo. </w:t>
      </w:r>
      <w:r>
        <w:t xml:space="preserve">Painel orquestrador do fechamento, com checklist de pendências e bloqueio de período.</w:t>
      </w: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Conteúdo: 3 tarefas · Total: 16 pontos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TSK-200  ·  5 pts · F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Use case CalcularChecklistFechamento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Calcula as 5 categorias de pendência do mês para empresa.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Notas DRAFT/PENDING</w:t>
            </w:r>
            <w:r>
              <w:rPr>
                <w:sz w:val="20"/>
                <w:szCs w:val="20"/>
              </w:rPr>
              <w:t xml:space="preserve">
• Notas recebidas sem manifestação (filtro por prazo)</w:t>
            </w:r>
            <w:r>
              <w:rPr>
                <w:sz w:val="20"/>
                <w:szCs w:val="20"/>
              </w:rPr>
              <w:t xml:space="preserve">
• Notas recebidas sem escrituração</w:t>
            </w:r>
            <w:r>
              <w:rPr>
                <w:sz w:val="20"/>
                <w:szCs w:val="20"/>
              </w:rPr>
              <w:t xml:space="preserve">
• Eventos pendentes de transmissão</w:t>
            </w:r>
            <w:r>
              <w:rPr>
                <w:sz w:val="20"/>
                <w:szCs w:val="20"/>
              </w:rPr>
              <w:t xml:space="preserve">
• Divergências CST/cClassTrib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Retorna contagem por categoria + lista de itens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TSK-150, TSK-162, TSK-195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TSK-201  ·  3 pts · F I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Use case BloquearPeriodoFechado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Após fechamento, bloqueia edição/emissão retroativa no período.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Entidade FechamentoMes (companyId, ano, mes, fechadoEm, fechadoBy, snapshot)</w:t>
            </w:r>
            <w:r>
              <w:rPr>
                <w:sz w:val="20"/>
                <w:szCs w:val="20"/>
              </w:rPr>
              <w:t xml:space="preserve">
• Validação em todos os use cases de emissão: data não pode estar em período fechado</w:t>
            </w:r>
            <w:r>
              <w:rPr>
                <w:sz w:val="20"/>
                <w:szCs w:val="20"/>
              </w:rPr>
              <w:t xml:space="preserve">
• Auditoria do fechamento (com snapshot de totais)</w:t>
            </w:r>
            <w:r>
              <w:rPr>
                <w:sz w:val="20"/>
                <w:szCs w:val="20"/>
              </w:rPr>
              <w:t xml:space="preserve">
• Operação de 'reabertura' restrita (com justificativa, dupla aprovação)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Tentar emitir NFe em mês fechado retorna erro orientado</w:t>
            </w:r>
            <w:r>
              <w:rPr>
                <w:sz w:val="20"/>
                <w:szCs w:val="20"/>
              </w:rPr>
              <w:t xml:space="preserve">
2. Reabertura registrada em AuditLog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TSK-094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TSK-202  ·  8 pts · E2E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Frontend: Painel de Fechamento Mensal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Tela /fiscal/fechamento seguindo o fluxograma 7 do PRD.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Seletor de período (mês/ano)</w:t>
            </w:r>
            <w:r>
              <w:rPr>
                <w:sz w:val="20"/>
                <w:szCs w:val="20"/>
              </w:rPr>
              <w:t xml:space="preserve">
• Cards com 5 categorias de pendência</w:t>
            </w:r>
            <w:r>
              <w:rPr>
                <w:sz w:val="20"/>
                <w:szCs w:val="20"/>
              </w:rPr>
              <w:t xml:space="preserve">
• Drill-down em cada card abre lista de itens com ação direta</w:t>
            </w:r>
            <w:r>
              <w:rPr>
                <w:sz w:val="20"/>
                <w:szCs w:val="20"/>
              </w:rPr>
              <w:t xml:space="preserve">
• Botão 'Iniciar apuração' habilitado quando pendências zeradas ou justificadas</w:t>
            </w:r>
            <w:r>
              <w:rPr>
                <w:sz w:val="20"/>
                <w:szCs w:val="20"/>
              </w:rPr>
              <w:t xml:space="preserve">
• Botão 'Fechar mês' com dupla confirmação e snapshot</w:t>
            </w:r>
            <w:r>
              <w:rPr>
                <w:sz w:val="20"/>
                <w:szCs w:val="20"/>
              </w:rPr>
              <w:t xml:space="preserve">
• Histórico de fechamentos no rodapé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Fiscal completa fechamento de mês simulado seguindo apenas o painel</w:t>
            </w:r>
            <w:r>
              <w:rPr>
                <w:sz w:val="20"/>
                <w:szCs w:val="20"/>
              </w:rPr>
              <w:t xml:space="preserve">
2. E2E ponta a ponta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TSK-200, TSK-201, TSK-194, TSK-196</w:t>
            </w:r>
          </w:p>
        </w:tc>
      </w:tr>
    </w:tbl>
    <w:p>
      <w:pPr>
        <w:spacing w:after="140"/>
      </w:pPr>
    </w:p>
    <w:p>
      <w:pPr>
        <w:pStyle w:val="Heading2"/>
        <w:spacing w:after="100" w:before="320"/>
      </w:pPr>
      <w:r>
        <w:t xml:space="preserve">EP-17 — Dashboard Inicial</w:t>
      </w:r>
    </w:p>
    <w:p>
      <w:pPr>
        <w:spacing w:after="120" w:line="276"/>
      </w:pPr>
      <w:r>
        <w:rPr>
          <w:b/>
          <w:bCs/>
        </w:rPr>
        <w:t xml:space="preserve">Resumo. </w:t>
      </w:r>
      <w:r>
        <w:t xml:space="preserve">Visão executiva ao logar: indicadores fiscais e operacionais.</w:t>
      </w: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Conteúdo: 2 tarefas · Total: 8 pontos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TSK-210  ·  3 pts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Endpoint /dashboard com indicadores agregados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API que retorna métricas-chave por empresa.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NF-e emitidas no mês (total + valor)</w:t>
            </w:r>
            <w:r>
              <w:rPr>
                <w:sz w:val="20"/>
                <w:szCs w:val="20"/>
              </w:rPr>
              <w:t xml:space="preserve">
• Notas recebidas pendentes de manifestação</w:t>
            </w:r>
            <w:r>
              <w:rPr>
                <w:sz w:val="20"/>
                <w:szCs w:val="20"/>
              </w:rPr>
              <w:t xml:space="preserve">
• Próximas pendências fiscais (certificado a expirar, ano-teste)</w:t>
            </w:r>
            <w:r>
              <w:rPr>
                <w:sz w:val="20"/>
                <w:szCs w:val="20"/>
              </w:rPr>
              <w:t xml:space="preserve">
• Status de saúde da integração SEFAZ/Focus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Endpoint retorna em &lt; 500ms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TSK-191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TSK-211  ·  5 pts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Frontend: Dashboard com cards e gráficos básicos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Tela inicial após login.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Cards de indicadores</w:t>
            </w:r>
            <w:r>
              <w:rPr>
                <w:sz w:val="20"/>
                <w:szCs w:val="20"/>
              </w:rPr>
              <w:t xml:space="preserve">
• Mini-gráfico de emissões dos últimos 30 dias (Recharts)</w:t>
            </w:r>
            <w:r>
              <w:rPr>
                <w:sz w:val="20"/>
                <w:szCs w:val="20"/>
              </w:rPr>
              <w:t xml:space="preserve">
• Lista de notificações recentes</w:t>
            </w:r>
            <w:r>
              <w:rPr>
                <w:sz w:val="20"/>
                <w:szCs w:val="20"/>
              </w:rPr>
              <w:t xml:space="preserve">
• Atalhos para ações frequentes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Dashboard carrega em &lt; 2s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TSK-210</w:t>
            </w:r>
          </w:p>
        </w:tc>
      </w:tr>
    </w:tbl>
    <w:p>
      <w:pPr>
        <w:spacing w:after="140"/>
      </w:pPr>
    </w:p>
    <w:p>
      <w:pPr>
        <w:pStyle w:val="Heading2"/>
        <w:spacing w:after="100" w:before="320"/>
      </w:pPr>
      <w:r>
        <w:t xml:space="preserve">EP-18 — Onboarding de Empresa (Wizard)</w:t>
      </w:r>
    </w:p>
    <w:p>
      <w:pPr>
        <w:spacing w:after="120" w:line="276"/>
      </w:pPr>
      <w:r>
        <w:rPr>
          <w:b/>
          <w:bCs/>
        </w:rPr>
        <w:t xml:space="preserve">Resumo. </w:t>
      </w:r>
      <w:r>
        <w:t xml:space="preserve">Fluxo guiado para configurar empresa nova, conforme fluxograma 6.</w:t>
      </w: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Conteúdo: 1 tarefas · Total: 8 pontos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TSK-220  ·  8 pts · E2E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Frontend: Wizard de onboarding em 5 etapas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Wizard com validação progressiva e modo homologação obrigatório antes de produção.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Etapa 1: Dados básicos + CNPJ</w:t>
            </w:r>
            <w:r>
              <w:rPr>
                <w:sz w:val="20"/>
                <w:szCs w:val="20"/>
              </w:rPr>
              <w:t xml:space="preserve">
• Etapa 2: CRT e flags fiscais (com explicação contextual)</w:t>
            </w:r>
            <w:r>
              <w:rPr>
                <w:sz w:val="20"/>
                <w:szCs w:val="20"/>
              </w:rPr>
              <w:t xml:space="preserve">
• Etapa 3: Documentos que emite (NF-e/NFS-e) e configuração</w:t>
            </w:r>
            <w:r>
              <w:rPr>
                <w:sz w:val="20"/>
                <w:szCs w:val="20"/>
              </w:rPr>
              <w:t xml:space="preserve">
• Etapa 4: Upload de certificado (NF-e) + provisionamento Focus (NFS-e)</w:t>
            </w:r>
            <w:r>
              <w:rPr>
                <w:sz w:val="20"/>
                <w:szCs w:val="20"/>
              </w:rPr>
              <w:t xml:space="preserve">
• Etapa 5: Modo homologação ativo + sugestão de emissão de teste</w:t>
            </w:r>
            <w:r>
              <w:rPr>
                <w:sz w:val="20"/>
                <w:szCs w:val="20"/>
              </w:rPr>
              <w:t xml:space="preserve">
• Botão final: alternar para PRODUÇÃO com dupla confirmação</w:t>
            </w:r>
            <w:r>
              <w:rPr>
                <w:sz w:val="20"/>
                <w:szCs w:val="20"/>
              </w:rPr>
              <w:t xml:space="preserve">
• Auditoria de cada etapa concluída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Admin completa onboarding em &lt; 15 min</w:t>
            </w:r>
            <w:r>
              <w:rPr>
                <w:sz w:val="20"/>
                <w:szCs w:val="20"/>
              </w:rPr>
              <w:t xml:space="preserve">
2. Empresa em produção só após teste em homologação confirmado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TSK-020, TSK-171, TSK-091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t xml:space="preserve">6. Fase 2 — Módulos Comercial e Financeiro</w:t>
      </w:r>
    </w:p>
    <w:p>
      <w:pPr>
        <w:spacing w:after="120" w:line="276"/>
      </w:pPr>
      <w:r>
        <w:t xml:space="preserve">Completa a operação ponta a ponta: vendas, compras, contas a pagar/receber, fluxo de caixa, ECONF. Conectada aos módulos fiscais, fecha o ciclo de negócio.</w:t>
      </w:r>
    </w:p>
    <w:p>
      <w:pPr>
        <w:pStyle w:val="Heading2"/>
        <w:spacing w:after="100" w:before="320"/>
      </w:pPr>
      <w:r>
        <w:t xml:space="preserve">EP-19 — Vendas e Pedidos</w:t>
      </w:r>
    </w:p>
    <w:p>
      <w:pPr>
        <w:spacing w:after="120" w:line="276"/>
      </w:pPr>
      <w:r>
        <w:rPr>
          <w:b/>
          <w:bCs/>
        </w:rPr>
        <w:t xml:space="preserve">Resumo. </w:t>
      </w:r>
      <w:r>
        <w:t xml:space="preserve">Pedidos de venda, faturamento integrado à emissão fiscal, devoluções.</w:t>
      </w: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Conteúdo: 4 tarefas · Total: 26 pontos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TSK-230  ·  5 pts · B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Modelagem: SalesOrder, SalesOrderItem, PriceList, PriceListItem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Entidades comerciais.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Entidades + migrations + repositórios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CRUD funcional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TSK-040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TSK-231  ·  8 pts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Use case: criar/aprovar/faturar pedido de venda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Ciclo de vida do pedido até gerar NFe ou NFSe.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Criar pedido com itens + valores</w:t>
            </w:r>
            <w:r>
              <w:rPr>
                <w:sz w:val="20"/>
                <w:szCs w:val="20"/>
              </w:rPr>
              <w:t xml:space="preserve">
• Aprovação por alçada (configurável)</w:t>
            </w:r>
            <w:r>
              <w:rPr>
                <w:sz w:val="20"/>
                <w:szCs w:val="20"/>
              </w:rPr>
              <w:t xml:space="preserve">
• Faturar: dispara EmitirNFe ou EmitirNFSe + vincula via salesOrderId</w:t>
            </w:r>
            <w:r>
              <w:rPr>
                <w:sz w:val="20"/>
                <w:szCs w:val="20"/>
              </w:rPr>
              <w:t xml:space="preserve">
• Faturamento parcial: suportar múltiplas NFs por pedido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Fluxo completo testado em E2E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TSK-230, TSK-111, TSK-181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TSK-232  ·  5 pts · F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Use case: devolução de venda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Emite NF-e de devolução referenciando a NF-e original.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NF-e com finalidade DEVOLUCAO e NFeReferencia</w:t>
            </w:r>
            <w:r>
              <w:rPr>
                <w:sz w:val="20"/>
                <w:szCs w:val="20"/>
              </w:rPr>
              <w:t xml:space="preserve">
• Estorno de financeiro e estoque</w:t>
            </w:r>
            <w:r>
              <w:rPr>
                <w:sz w:val="20"/>
                <w:szCs w:val="20"/>
              </w:rPr>
              <w:t xml:space="preserve">
• Tratamento de tributos (recuperação)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Validação fiscal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TSK-113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TSK-233  ·  8 pts · E2E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Frontend: Pedidos de venda + Faturamento + Devoluções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Telas completas do módulo de vendas.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CRUD de pedidos, faturamento com preview, listagem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UX validada com faturista real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TSK-231, TSK-232</w:t>
            </w:r>
          </w:p>
        </w:tc>
      </w:tr>
    </w:tbl>
    <w:p>
      <w:pPr>
        <w:spacing w:after="140"/>
      </w:pPr>
    </w:p>
    <w:p>
      <w:pPr>
        <w:pStyle w:val="Heading2"/>
        <w:spacing w:after="100" w:before="320"/>
      </w:pPr>
      <w:r>
        <w:t xml:space="preserve">EP-20 — Compras</w:t>
      </w:r>
    </w:p>
    <w:p>
      <w:pPr>
        <w:spacing w:after="120" w:line="276"/>
      </w:pPr>
      <w:r>
        <w:rPr>
          <w:b/>
          <w:bCs/>
        </w:rPr>
        <w:t xml:space="preserve">Resumo. </w:t>
      </w:r>
      <w:r>
        <w:t xml:space="preserve">Pedidos de compra, conferência com nota recebida, gestão de fornecedores.</w:t>
      </w: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Conteúdo: 3 tarefas · Total: 13 pontos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TSK-240  ·  3 pts · B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Modelagem: PurchaseOrder, PurchaseOrderItem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Entidades de compras.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Entidades + migrations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CRUD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TSK-041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TSK-241  ·  5 pts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Use case: ciclo de vida do pedido de compra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Criar → aprovar → receber (parcial/total) → fechar.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Aprovação por alçada</w:t>
            </w:r>
            <w:r>
              <w:rPr>
                <w:sz w:val="20"/>
                <w:szCs w:val="20"/>
              </w:rPr>
              <w:t xml:space="preserve">
• Recebimento parcial atualiza quantidades</w:t>
            </w:r>
            <w:r>
              <w:rPr>
                <w:sz w:val="20"/>
                <w:szCs w:val="20"/>
              </w:rPr>
              <w:t xml:space="preserve">
• Vínculo com ReceivedDocument na conferência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Fluxo completo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TSK-240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TSK-242  ·  5 pts · E2E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Frontend: Pedidos de compra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Telas completas.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CRUD, aprovação, recebimento, vinculação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UX validada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TSK-241</w:t>
            </w:r>
          </w:p>
        </w:tc>
      </w:tr>
    </w:tbl>
    <w:p>
      <w:pPr>
        <w:spacing w:after="140"/>
      </w:pPr>
    </w:p>
    <w:p>
      <w:pPr>
        <w:pStyle w:val="Heading2"/>
        <w:spacing w:after="100" w:before="320"/>
      </w:pPr>
      <w:r>
        <w:t xml:space="preserve">EP-21 — Financeiro: Contas a Receber, a Pagar, Bancos</w:t>
      </w:r>
    </w:p>
    <w:p>
      <w:pPr>
        <w:spacing w:after="120" w:line="276"/>
      </w:pPr>
      <w:r>
        <w:rPr>
          <w:b/>
          <w:bCs/>
        </w:rPr>
        <w:t xml:space="preserve">Resumo. </w:t>
      </w:r>
      <w:r>
        <w:t xml:space="preserve">AR, AP, parcelas, conciliação bancária e fluxo de caixa.</w:t>
      </w: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Conteúdo: 6 tarefas · Total: 41 pontos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TSK-250  ·  5 pts · B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Modelagem: AccountReceivable, ReceivableInstallment, AccountPayable, PayableInstallment, BankAccount, BankTransaction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Entidades financeiras.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6 entidades, migrations, repositórios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CRUD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TSK-110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TSK-251  ·  5 pts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Use case: gerar título a receber/pagar a partir de NF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Hook automático após autorização de NFe/NFSe e escrituração de ReceivedDocument.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Receber: AR criado com parcelas conforme cond. pagamento da venda</w:t>
            </w:r>
            <w:r>
              <w:rPr>
                <w:sz w:val="20"/>
                <w:szCs w:val="20"/>
              </w:rPr>
              <w:t xml:space="preserve">
• Pagar: AP criado com parcelas conforme nota de entrada</w:t>
            </w:r>
            <w:r>
              <w:rPr>
                <w:sz w:val="20"/>
                <w:szCs w:val="20"/>
              </w:rPr>
              <w:t xml:space="preserve">
• Vínculos: AR.nfeId, AP.receivedDocumentId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Emitir NFe gera AR; manifestar/escriturar nota recebida gera AP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TSK-250, TSK-111, TSK-162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TSK-252  ·  5 pts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Use case: baixa de título (parcial/total) com juros/multa/desconto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Operações financeiras com auditoria.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Baixa parcial atualiza valorAberto, cria BankTransaction quando aplicável</w:t>
            </w:r>
            <w:r>
              <w:rPr>
                <w:sz w:val="20"/>
                <w:szCs w:val="20"/>
              </w:rPr>
              <w:t xml:space="preserve">
• Cálculo de juros e multa por dia de atraso (configurável)</w:t>
            </w:r>
            <w:r>
              <w:rPr>
                <w:sz w:val="20"/>
                <w:szCs w:val="20"/>
              </w:rPr>
              <w:t xml:space="preserve">
• Desconto manual com permissão específica</w:t>
            </w:r>
            <w:r>
              <w:rPr>
                <w:sz w:val="20"/>
                <w:szCs w:val="20"/>
              </w:rPr>
              <w:t xml:space="preserve">
• Estorno de baixa em caso de erro (com auditoria)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Fluxo completo + auditoria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TSK-251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TSK-253  ·  8 pts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Conciliação bancária por OFX/CNAB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Importação de extrato e matching automático com baixas previstas.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Parser OFX (lib ofx-parser-js ou similar) e CNAB</w:t>
            </w:r>
            <w:r>
              <w:rPr>
                <w:sz w:val="20"/>
                <w:szCs w:val="20"/>
              </w:rPr>
              <w:t xml:space="preserve">
• Matching automático: valor + data ± 3 dias + descrição</w:t>
            </w:r>
            <w:r>
              <w:rPr>
                <w:sz w:val="20"/>
                <w:szCs w:val="20"/>
              </w:rPr>
              <w:t xml:space="preserve">
• Tela de revisão para matches manuais</w:t>
            </w:r>
            <w:r>
              <w:rPr>
                <w:sz w:val="20"/>
                <w:szCs w:val="20"/>
              </w:rPr>
              <w:t xml:space="preserve">
• Marcação de transações conciliadas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Importar extrato de 100 linhas: &gt; 70% match automático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TSK-252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TSK-254  ·  5 pts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Fluxo de caixa projetado e realizado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Visualização cronológica de entradas e saídas.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Realizado: BankTransactions agregadas por dia/categoria</w:t>
            </w:r>
            <w:r>
              <w:rPr>
                <w:sz w:val="20"/>
                <w:szCs w:val="20"/>
              </w:rPr>
              <w:t xml:space="preserve">
• Projetado: AR + AP com vencimento futuro</w:t>
            </w:r>
            <w:r>
              <w:rPr>
                <w:sz w:val="20"/>
                <w:szCs w:val="20"/>
              </w:rPr>
              <w:t xml:space="preserve">
• Saldo cumulativo por dia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Gráfico responsivo no frontend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TSK-252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TSK-255  ·  13 pts · E2E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Frontend: Telas Financeiro completas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CRUD + conciliação + fluxo de caixa.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Telas para AR, AP, Bancos, Conciliação, Fluxo de Caixa, com filtros e ações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UX validada com financeiro real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TSK-252, TSK-253, TSK-254</w:t>
            </w:r>
          </w:p>
        </w:tc>
      </w:tr>
    </w:tbl>
    <w:p>
      <w:pPr>
        <w:spacing w:after="140"/>
      </w:pPr>
    </w:p>
    <w:p>
      <w:pPr>
        <w:pStyle w:val="Heading2"/>
        <w:spacing w:after="100" w:before="320"/>
      </w:pPr>
      <w:r>
        <w:t xml:space="preserve">EP-22 — ECONF (Conciliação Financeira) e Preparação ao Split Payment</w:t>
      </w:r>
    </w:p>
    <w:p>
      <w:pPr>
        <w:spacing w:after="120" w:line="276"/>
      </w:pPr>
      <w:r>
        <w:rPr>
          <w:b/>
          <w:bCs/>
        </w:rPr>
        <w:t xml:space="preserve">Resumo. </w:t>
      </w:r>
      <w:r>
        <w:t xml:space="preserve">Registro do Evento de Conciliação Financeira na SEFAZ, base para a evolução do split payment em 2027.</w:t>
      </w: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Conteúdo: 3 tarefas · Total: 12 pontos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TSK-260  ·  2 pts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Modelagem: EconfEvent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Entidade para o evento ECONF.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Entidade + migration + repositório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CRUD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TSK-110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TSK-261  ·  5 pts · F I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Use case: registrar/cancelar ECONF na SEFAZ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Evento facultativo registrado após a liquidação financeira.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Trigger automático após baixa total de AR vinculado a NFe</w:t>
            </w:r>
            <w:r>
              <w:rPr>
                <w:sz w:val="20"/>
                <w:szCs w:val="20"/>
              </w:rPr>
              <w:t xml:space="preserve">
• Composição do evento + assinatura + transmissão</w:t>
            </w:r>
            <w:r>
              <w:rPr>
                <w:sz w:val="20"/>
                <w:szCs w:val="20"/>
              </w:rPr>
              <w:t xml:space="preserve">
• Tratamento de cancelamento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Funciona em homologação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TSK-260, TSK-113, TSK-252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TSK-262  ·  5 pts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Simulador de impacto do split payment no fluxo de caixa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Tela com cenários de impacto quando o split entrar em vigor.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Cenário padrão / inteligente / simplificado</w:t>
            </w:r>
            <w:r>
              <w:rPr>
                <w:sz w:val="20"/>
                <w:szCs w:val="20"/>
              </w:rPr>
              <w:t xml:space="preserve">
• Comparação caixa atual × caixa pós-split</w:t>
            </w:r>
            <w:r>
              <w:rPr>
                <w:sz w:val="20"/>
                <w:szCs w:val="20"/>
              </w:rPr>
              <w:t xml:space="preserve">
• Identificação de necessidade de capital de giro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Gerência consegue tomar decisão informada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TSK-254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t xml:space="preserve">7. Fase 3 — Migração do Legado Paradox/BDE</w:t>
      </w:r>
    </w:p>
    <w:p>
      <w:pPr>
        <w:spacing w:after="120" w:line="276"/>
      </w:pPr>
      <w:r>
        <w:t xml:space="preserve">Fase de risco alto, executada com a operação real já em produção no novo sistema. Foco em saneamento, reconciliação rigorosa e operação paralela controlada.</w:t>
      </w:r>
    </w:p>
    <w:p>
      <w:pPr>
        <w:pStyle w:val="Heading2"/>
        <w:spacing w:after="100" w:before="320"/>
      </w:pPr>
      <w:r>
        <w:t xml:space="preserve">EP-23 — Inventário e ETL do Legado</w:t>
      </w:r>
    </w:p>
    <w:p>
      <w:pPr>
        <w:spacing w:after="120" w:line="276"/>
      </w:pPr>
      <w:r>
        <w:rPr>
          <w:b/>
          <w:bCs/>
        </w:rPr>
        <w:t xml:space="preserve">Resumo. </w:t>
      </w:r>
      <w:r>
        <w:t xml:space="preserve">Extrair dados do Paradox, sanear, mapear e carregar no novo modelo com reconciliação.</w:t>
      </w: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Conteúdo: 5 tarefas · Total: 31 pontos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TSK-270  ·  5 pts · F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Inventário e dicionário de-para legado → novo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Mapear cada tabela Paradox para entidades novas; identificar gaps.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Documentação de cada tabela Paradox com campos, tipos, regras embutidas</w:t>
            </w:r>
            <w:r>
              <w:rPr>
                <w:sz w:val="20"/>
                <w:szCs w:val="20"/>
              </w:rPr>
              <w:t xml:space="preserve">
• Tabela de mapeamento com transformações necessárias</w:t>
            </w:r>
            <w:r>
              <w:rPr>
                <w:sz w:val="20"/>
                <w:szCs w:val="20"/>
              </w:rPr>
              <w:t xml:space="preserve">
• Identificação de gaps (dados faltantes que precisam ser estimados ou marcados como tal)</w:t>
            </w:r>
            <w:r>
              <w:rPr>
                <w:sz w:val="20"/>
                <w:szCs w:val="20"/>
              </w:rPr>
              <w:t xml:space="preserve">
• Aprovação do dicionário por especialista fiscal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Dicionário completo e revisado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TSK-271  ·  5 pts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Extrator do Paradox via ODBC ou export CSV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Ferramenta de extração que produz CSVs estruturados.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Conexão ODBC ou export via ferramenta externa para CSV</w:t>
            </w:r>
            <w:r>
              <w:rPr>
                <w:sz w:val="20"/>
                <w:szCs w:val="20"/>
              </w:rPr>
              <w:t xml:space="preserve">
• Validação de integridade dos arquivos (sem corrupção)</w:t>
            </w:r>
            <w:r>
              <w:rPr>
                <w:sz w:val="20"/>
                <w:szCs w:val="20"/>
              </w:rPr>
              <w:t xml:space="preserve">
• Tratamento de encoding (ISO-8859-1 → UTF-8)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Extrai snapshot completo em &lt; 2h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TSK-270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TSK-272  ·  8 pts · F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Pipeline de saneamento de dados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Limpa, normaliza e valida dados antes da carga.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Validação por entidade (CNPJ válido, NCM válido, etc.)</w:t>
            </w:r>
            <w:r>
              <w:rPr>
                <w:sz w:val="20"/>
                <w:szCs w:val="20"/>
              </w:rPr>
              <w:t xml:space="preserve">
• Relatório de inconsistências (com decisão por categoria)</w:t>
            </w:r>
            <w:r>
              <w:rPr>
                <w:sz w:val="20"/>
                <w:szCs w:val="20"/>
              </w:rPr>
              <w:t xml:space="preserve">
• Deduplicação</w:t>
            </w:r>
            <w:r>
              <w:rPr>
                <w:sz w:val="20"/>
                <w:szCs w:val="20"/>
              </w:rPr>
              <w:t xml:space="preserve">
• Enriquecimento (busca em fontes oficiais quando possível)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Taxa de aproveitamento &gt; 95% dos registros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TSK-271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TSK-273  ·  8 pts · I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Carga no novo modelo com reconciliação automatizada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Carregar dados saneados respeitando integridade referencial.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Ordem correta: tenant → company → users → cadastros → documentos históricos</w:t>
            </w:r>
            <w:r>
              <w:rPr>
                <w:sz w:val="20"/>
                <w:szCs w:val="20"/>
              </w:rPr>
              <w:t xml:space="preserve">
• Reconciliação automática: totais por período batem entre legado e novo</w:t>
            </w:r>
            <w:r>
              <w:rPr>
                <w:sz w:val="20"/>
                <w:szCs w:val="20"/>
              </w:rPr>
              <w:t xml:space="preserve">
• Relatório de diferenças com tolerância configurável</w:t>
            </w:r>
            <w:r>
              <w:rPr>
                <w:sz w:val="20"/>
                <w:szCs w:val="20"/>
              </w:rPr>
              <w:t xml:space="preserve">
• Idempotente: re-executar não duplica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Reconciliação 100% para totais financeiros e fiscais do mês de corte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TSK-272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TSK-274  ·  5 pts · F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Operação paralela e plano de corte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Janela onde legado fica read-only e novo é fonte da verdade.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Checklist de corte (todos os usuários migrados, certificados ok, treinamento concluído)</w:t>
            </w:r>
            <w:r>
              <w:rPr>
                <w:sz w:val="20"/>
                <w:szCs w:val="20"/>
              </w:rPr>
              <w:t xml:space="preserve">
• Plano de rollback documentado</w:t>
            </w:r>
            <w:r>
              <w:rPr>
                <w:sz w:val="20"/>
                <w:szCs w:val="20"/>
              </w:rPr>
              <w:t xml:space="preserve">
• Comunicação aos usuários</w:t>
            </w:r>
            <w:r>
              <w:rPr>
                <w:sz w:val="20"/>
                <w:szCs w:val="20"/>
              </w:rPr>
              <w:t xml:space="preserve">
• Monitoramento intensivo nas primeiras 2 semanas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Corte executado sem incidente crítico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TSK-273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t xml:space="preserve">8. Fase 4 — Conformidade Contínua 2027+</w:t>
      </w:r>
    </w:p>
    <w:p>
      <w:pPr>
        <w:spacing w:after="120" w:line="276"/>
      </w:pPr>
      <w:r>
        <w:t xml:space="preserve">Fase recorrente que acompanha o cronograma da Reforma Tributária. Detalhamento referencial; cada ano é re-planejado conforme normas vigentes.</w:t>
      </w:r>
    </w:p>
    <w:p>
      <w:pPr>
        <w:pStyle w:val="Heading2"/>
        <w:spacing w:after="100" w:before="320"/>
      </w:pPr>
      <w:r>
        <w:t xml:space="preserve">EP-24 — Conformidade 2027: CBS plena, fim de PIS/COFINS, Simples/MEI obrigatório</w:t>
      </w:r>
    </w:p>
    <w:p>
      <w:pPr>
        <w:spacing w:after="120" w:line="276"/>
      </w:pPr>
      <w:r>
        <w:rPr>
          <w:b/>
          <w:bCs/>
        </w:rPr>
        <w:t xml:space="preserve">Resumo. </w:t>
      </w:r>
      <w:r>
        <w:t xml:space="preserve">Transição do regime simbólico (2026) para apuração efetiva.</w:t>
      </w: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Conteúdo: 3 tarefas · Total: 16 pontos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TSK-280  ·  5 pts · F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Ativar cálculo efetivo de CBS e desativar PIS/COFINS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Mudança de vigência nos parâmetros tributários.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Vigência: 2027-01-01</w:t>
            </w:r>
            <w:r>
              <w:rPr>
                <w:sz w:val="20"/>
                <w:szCs w:val="20"/>
              </w:rPr>
              <w:t xml:space="preserve">
• Calculadora CBS no modo pleno</w:t>
            </w:r>
            <w:r>
              <w:rPr>
                <w:sz w:val="20"/>
                <w:szCs w:val="20"/>
              </w:rPr>
              <w:t xml:space="preserve">
• PIS/COFINS pulam (já implementado)</w:t>
            </w:r>
            <w:r>
              <w:rPr>
                <w:sz w:val="20"/>
                <w:szCs w:val="20"/>
              </w:rPr>
              <w:t xml:space="preserve">
• Apuração mensal inclui CBS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Apuração CBS funciona; PIS/COFINS desabilitados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TSK-068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TSK-281  ·  3 pts · F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Ativar Imposto Seletivo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IS começa em 2027.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Vigência do parâmetro IS em 2027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IS aparece em notas de produtos sujeitos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TSK-069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TSK-282  ·  8 pts · F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Suporte completo a Simples Nacional/MEI (CRT 1, 2, 4)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Ampliar emissão para empresas do Simples e MEI.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Calculadoras adaptam tratamento (CSOSN, sem ICMS próprio destacado, etc.)</w:t>
            </w:r>
            <w:r>
              <w:rPr>
                <w:sz w:val="20"/>
                <w:szCs w:val="20"/>
              </w:rPr>
              <w:t xml:space="preserve">
• NFS-e Nacional obrigatória para MEI</w:t>
            </w:r>
            <w:r>
              <w:rPr>
                <w:sz w:val="20"/>
                <w:szCs w:val="20"/>
              </w:rPr>
              <w:t xml:space="preserve">
• Testes com empresas de cada CRT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Emissão funciona para todos os CRTs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TSK-280</w:t>
            </w:r>
          </w:p>
        </w:tc>
      </w:tr>
    </w:tbl>
    <w:p>
      <w:pPr>
        <w:spacing w:after="140"/>
      </w:pPr>
    </w:p>
    <w:p>
      <w:pPr>
        <w:pStyle w:val="Heading2"/>
        <w:spacing w:after="100" w:before="320"/>
      </w:pPr>
      <w:r>
        <w:t xml:space="preserve">EP-25 — Split Payment (RT 2026.001)</w:t>
      </w:r>
    </w:p>
    <w:p>
      <w:pPr>
        <w:spacing w:after="120" w:line="276"/>
      </w:pPr>
      <w:r>
        <w:rPr>
          <w:b/>
          <w:bCs/>
        </w:rPr>
        <w:t xml:space="preserve">Resumo. </w:t>
      </w:r>
      <w:r>
        <w:t xml:space="preserve">Integração com PSPs para execução automática conforme regulamentação.</w:t>
      </w: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Conteúdo: 2 tarefas · Total: 18 pontos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TSK-290  ·  5 pts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Modelagem: vinculação DF-e × transação de pagamento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Conforme NT RT 2026.001.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Entidade específica + relação com NFe e BankTransaction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Modelo aprovado por fiscal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TSK-291  ·  13 pts · I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Adapter para PSP (provedor a definir)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Integração com adquirente para split automático.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Integração API do PSP escolhido</w:t>
            </w:r>
            <w:r>
              <w:rPr>
                <w:sz w:val="20"/>
                <w:szCs w:val="20"/>
              </w:rPr>
              <w:t xml:space="preserve">
• Idempotência</w:t>
            </w:r>
            <w:r>
              <w:rPr>
                <w:sz w:val="20"/>
                <w:szCs w:val="20"/>
              </w:rPr>
              <w:t xml:space="preserve">
• Reconciliação automática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Split executado fim a fim em ambiente de teste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TSK-290</w:t>
            </w:r>
          </w:p>
        </w:tc>
      </w:tr>
    </w:tbl>
    <w:p>
      <w:pPr>
        <w:spacing w:after="140"/>
      </w:pPr>
    </w:p>
    <w:p>
      <w:pPr>
        <w:pStyle w:val="Heading2"/>
        <w:spacing w:after="100" w:before="320"/>
      </w:pPr>
      <w:r>
        <w:t xml:space="preserve">EP-26 — Transição 2029-2032: IBS crescente, ICMS/ISS decrescente</w:t>
      </w:r>
    </w:p>
    <w:p>
      <w:pPr>
        <w:spacing w:after="120" w:line="276"/>
      </w:pPr>
      <w:r>
        <w:rPr>
          <w:b/>
          <w:bCs/>
        </w:rPr>
        <w:t xml:space="preserve">Resumo. </w:t>
      </w:r>
      <w:r>
        <w:t xml:space="preserve">Operação proporcional dos dois regimes durante a substituição gradual.</w:t>
      </w: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Conteúdo: 1 tarefas · Total: 5 pontos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TSK-300  ·  5 pts · F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Cálculo proporcional por vigência anual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Ajustar parâmetros anualmente conforme cronograma.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Vigências anuais 2029, 2030, 2031, 2032 com proporção crescente IBS</w:t>
            </w:r>
            <w:r>
              <w:rPr>
                <w:sz w:val="20"/>
                <w:szCs w:val="20"/>
              </w:rPr>
              <w:t xml:space="preserve">
• Validação fiscal de cada vigência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Cálculo bate com tabelas oficiais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TSK-280</w:t>
            </w:r>
          </w:p>
        </w:tc>
      </w:tr>
    </w:tbl>
    <w:p>
      <w:pPr>
        <w:spacing w:after="140"/>
      </w:pPr>
    </w:p>
    <w:p>
      <w:pPr>
        <w:pStyle w:val="Heading2"/>
        <w:spacing w:after="100" w:before="320"/>
      </w:pPr>
      <w:r>
        <w:t xml:space="preserve">EP-27 — Consolidação 2033: IVA Dual pleno</w:t>
      </w:r>
    </w:p>
    <w:p>
      <w:pPr>
        <w:spacing w:after="120" w:line="276"/>
      </w:pPr>
      <w:r>
        <w:rPr>
          <w:b/>
          <w:bCs/>
        </w:rPr>
        <w:t xml:space="preserve">Resumo. </w:t>
      </w:r>
      <w:r>
        <w:t xml:space="preserve">Desativar tributos antigos; manter apenas histórico.</w:t>
      </w: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Conteúdo: 1 tarefas · Total: 3 pontos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TSK-310  ·  3 pts · F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Desabilitar cálculos de ICMS/ISS/IPI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Descrição. </w:t>
            </w:r>
            <w:r>
              <w:rPr>
                <w:sz w:val="20"/>
                <w:szCs w:val="20"/>
              </w:rPr>
              <w:t xml:space="preserve">Por vigência, calculadoras antigas pulam.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Checklist técnico.</w:t>
            </w:r>
            <w:r>
              <w:rPr>
                <w:sz w:val="20"/>
                <w:szCs w:val="20"/>
              </w:rPr>
              <w:t xml:space="preserve">
• Vigência 2033-01-01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Critérios de aceitação.</w:t>
            </w:r>
            <w:r>
              <w:rPr>
                <w:sz w:val="20"/>
                <w:szCs w:val="20"/>
              </w:rPr>
              <w:t xml:space="preserve">
1. Apenas IBS/CBS/IS calculados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Dependências. </w:t>
            </w:r>
            <w:r>
              <w:rPr>
                <w:sz w:val="20"/>
                <w:szCs w:val="20"/>
              </w:rPr>
              <w:t xml:space="preserve">TSK-300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t xml:space="preserve">9. Anexos</w:t>
      </w:r>
    </w:p>
    <w:p>
      <w:pPr>
        <w:pStyle w:val="Heading2"/>
      </w:pPr>
      <w:r>
        <w:t xml:space="preserve">9.1 Convenções de código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TypeScript strict; sem any sem justificativa em comentário.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Imports: absolutos via paths aliases (@domain, @application, @infrastructure, @presentation, @shared).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Naming: PascalCase para classes/interfaces (com prefixo I para interfaces de domínio); camelCase para funções/variáveis; kebab-case para arquivos.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Use cases nomeados no infinitivo (EmitirNFeUseCase, CancelarNFeUseCase).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Commits seguem Conventional Commits.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ADRs (Architecture Decision Records) em docs/adr/ com numeração sequencial.</w:t>
      </w:r>
    </w:p>
    <w:p>
      <w:pPr>
        <w:pStyle w:val="Heading2"/>
      </w:pPr>
      <w:r>
        <w:t xml:space="preserve">9.2 Estratégia de testes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60"/>
        <w:gridCol w:w="1700"/>
        <w:gridCol w:w="190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Cobertura alvo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Frequência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Unit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Domain + Application (use cases puros)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≥ 90%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Cada PR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Integration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Infrastructure (repositórios, adapters externos com mocks de rede)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≥ 80%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Cada PR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E2E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Presentation → Database (com Postgres real via testcontainers)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Fluxos críticos do PRD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Cada PR + nightly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Contract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SEFAZ/Focus (com fixtures de XML/JSON oficiais)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Endpoints usados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Semanal + on-demand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Load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Cenários de pico (1000 emissões/min)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Antes de cada release maior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Pre-release</w:t>
            </w:r>
          </w:p>
        </w:tc>
      </w:tr>
    </w:tbl>
    <w:p>
      <w:pPr>
        <w:pStyle w:val="Heading2"/>
      </w:pPr>
      <w:r>
        <w:t xml:space="preserve">9.3 Critérios de pronto para produção (Go-Live MVP)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Todos os épicos das Fases 0, 1a, 1b, 1c concluídos.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Cobertura de testes ≥ 80% global; ≥ 90% nos use cases.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Auditoria de segurança independente realizada (foco em custódia de certificado, RBAC e dados sensíveis).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Load test simulando 2× o pico esperado passa sem degradação &gt; 20%.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Plano de disaster recovery documentado e testado (RPO ≤ 15min, RTO ≤ 4h).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Pelo menos 3 empresas em homologação por 30 dias sem incidentes críticos.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Treinamento de pelo menos 1 usuário-chave por empresa cliente.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Documentação técnica completa: arquitetura, runbooks, API (OpenAPI), guia de onboarding.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Plano de suporte definido: SLAs, escalonamento, on-call.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Aprovação formal do patrocinador e do responsável fiscal/contábil.</w:t>
      </w:r>
    </w:p>
    <w:p>
      <w:pPr>
        <w:pStyle w:val="Heading2"/>
      </w:pPr>
      <w:r>
        <w:t xml:space="preserve">9.4 Estimativa consolidada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Épicos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Tarefas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Pontos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Fase 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EP-01 a EP-05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~25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~200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Fase 1a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EP-06 a EP-09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~20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~265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Fase 1b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EP-10 a EP-14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~17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~165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Fase 1c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EP-15 a EP-18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~16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~125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Fase 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EP-19 a EP-22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~17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~225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Fase 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EP-23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~5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~140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Fase 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EP-24 a EP-27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~7 (referencial)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~200/ano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TOTAL MVP (Fases 0-1c)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~14 épicos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~78 tarefas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~755 pontos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TOTAL ATÉ FASE 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~20 épicos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~100 tarefas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~1120 pontos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Próximos passos imediatos: </w:t>
      </w:r>
      <w:r>
        <w:t xml:space="preserve">(1) revisar este plano com a equipe técnica e ajustar estimativas conforme calibração; (2) executar refinamento detalhado da Sprint 1 (~7 a 8 tarefas da Fase 0); (3) configurar ferramenta de gestão (Linear, Jira ou equivalente) com a estrutura de épicos e tarefas; (4) definir cerimônias ágeis (planning quinzenal, daily 15min, review/retro a cada sprint); (5) iniciar Sprint 1 com a fundação (TSK-001 a TSK-009).</w:t>
      </w:r>
    </w:p>
    <w:sectPr>
      <w:headerReference w:type="default" r:id="rId7"/>
      <w:footerReference w:type="default" r:id="rId8"/>
      <w:pgSz w:w="12240" w:h="15840" w:orient="portrait"/>
      <w:pgMar w:top="1320" w:right="1440" w:bottom="13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6"/>
      </w:pBdr>
      <w:tabs>
        <w:tab w:val="right" w:pos="9026"/>
      </w:tabs>
    </w:pPr>
    <w:r>
      <w:rPr>
        <w:color w:val="595959"/>
        <w:sz w:val="16"/>
        <w:szCs w:val="16"/>
      </w:rPr>
      <w:t xml:space="preserve">Confidencial — Uso interno</w:t>
    </w:r>
    <w:r>
      <w:rPr>
        <w:color w:val="595959"/>
        <w:sz w:val="16"/>
        <w:szCs w:val="16"/>
      </w:rPr>
      <w:t xml:space="preserve">	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6"/>
      </w:pBdr>
      <w:tabs>
        <w:tab w:val="right" w:pos="9026"/>
      </w:tabs>
      <w:spacing w:after="120"/>
    </w:pPr>
    <w:r>
      <w:rPr>
        <w:color w:val="595959"/>
        <w:sz w:val="16"/>
        <w:szCs w:val="16"/>
      </w:rPr>
      <w:t xml:space="preserve">Plano de Desenvolvimento — Sistema Fiscal-Financeiro</w:t>
    </w:r>
    <w:r>
      <w:rPr>
        <w:color w:val="595959"/>
        <w:sz w:val="16"/>
        <w:szCs w:val="16"/>
      </w:rPr>
      <w:t xml:space="preserve">	v1.0 · Stack TypeORM + Clean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6"/>
      </w:pBdr>
      <w:spacing w:after="20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30" w:before="260"/>
      <w:outlineLvl w:val="1"/>
    </w:pPr>
    <w:rPr>
      <w:rFonts w:ascii="Calibri" w:cs="Calibri" w:eastAsia="Calibri" w:hAnsi="Calibri"/>
      <w:b/>
      <w:bCs/>
      <w:color w:val="2E5C9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— Sistema Fiscal-Financeiro</dc:title>
  <dc:creator>Equipe de Engenharia</dc:creator>
  <dc:description>Épicos, tarefas, critérios de aceitação e estimativas</dc:description>
  <cp:lastModifiedBy>Un-named</cp:lastModifiedBy>
  <cp:revision>1</cp:revision>
  <dcterms:created xsi:type="dcterms:W3CDTF">2026-05-22T22:03:26.437Z</dcterms:created>
  <dcterms:modified xsi:type="dcterms:W3CDTF">2026-05-22T22:03:26.456Z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