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 w:before="0" w:after="120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EXCELENTÍSSIMO SENHOR JUIZ DE DIREITO DA JUÍZO TITULAR II - 2ª VARA CÍVEL - REGIONAL IV - LAPA DA COMARCA DE (MUNICÍPIO OU REGIONAL)/SP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C7863" w:rsidRDefault="009C7863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spacing w:before="0" w:after="120"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n°: 4018574-23.2025.8.26.0100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F089E" w:rsidRDefault="009F089E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</w:rPr>
        <w:t xml:space="preserve">BVEP VILA PARQUE EMPREENDIMENTO IMOBILIARIO SPE LTDA., já qualificada nos autos epigrafados, em que contende com ELAINE RODRIGUES DA SILVA; GENESIA RODRIGUES DAS VIRGENS, vem respeitosamente perante V. Exa., manifestar e requerer o que segue.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9F089E">
        <w:rPr>
          <w:rFonts w:ascii="Calibri" w:hAnsi="Calibri" w:cs="Calibri"/>
          <w:color w:val="000000"/>
          <w:sz w:val="24"/>
          <w:szCs w:val="22"/>
        </w:rPr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B4667A" w:rsidRPr="00CC18FA">
        <w:rPr>
          <w:rFonts w:ascii="Calibri" w:hAnsi="Calibri" w:cs="Calibri"/>
          <w:color w:val="000000"/>
          <w:sz w:val="24"/>
          <w:szCs w:val="22"/>
        </w:rPr>
      </w:r>
      <w:r w:rsidR="00B715C1">
        <w:rPr>
          <w:rFonts w:ascii="Calibri" w:hAnsi="Calibri" w:cs="Calibri"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320180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006007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B715C1">
        <w:rPr>
          <w:rFonts w:ascii="Calibri" w:hAnsi="Calibri" w:cs="Calibri"/>
          <w:sz w:val="24"/>
          <w:szCs w:val="22"/>
        </w:rPr>
      </w:r>
      <w:r w:rsidR="006A4752">
        <w:rPr>
          <w:rFonts w:ascii="Calibri" w:hAnsi="Calibri" w:cs="Calibri"/>
          <w:sz w:val="24"/>
          <w:szCs w:val="22"/>
        </w:rPr>
      </w:r>
    </w:p>
    <w:p w:rsidR="006A4752" w:rsidRDefault="006A4752" w:rsidP="006A4752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831D8D" w:rsidRDefault="00831D8D" w:rsidP="00890563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831D8D">
        <w:rPr>
          <w:rFonts w:ascii="Calibri" w:hAnsi="Calibri" w:cs="Calibri"/>
          <w:color w:val="FF0000"/>
          <w:sz w:val="24"/>
          <w:szCs w:val="22"/>
        </w:rPr>
        <w:t xml:space="preserve">Descrever a situação da empresa que motiva expedição do mandado de constatação, exemplo: </w:t>
      </w:r>
      <w:r w:rsidRPr="00831D8D">
        <w:rPr>
          <w:rFonts w:ascii="Calibri" w:hAnsi="Calibri" w:cs="Calibri"/>
          <w:color w:val="FF0000"/>
          <w:sz w:val="24"/>
        </w:rPr>
        <w:t xml:space="preserve">A Executada é empresa com atividade de vigilância e segurança, localizada </w:t>
      </w:r>
      <w:r>
        <w:rPr>
          <w:rFonts w:ascii="Calibri" w:hAnsi="Calibri" w:cs="Calibri"/>
          <w:color w:val="FF0000"/>
          <w:sz w:val="24"/>
        </w:rPr>
        <w:t xml:space="preserve">no endereço xxx, </w:t>
      </w:r>
      <w:r w:rsidRPr="00831D8D">
        <w:rPr>
          <w:rFonts w:ascii="Calibri" w:hAnsi="Calibri" w:cs="Calibri"/>
          <w:color w:val="FF0000"/>
          <w:sz w:val="24"/>
        </w:rPr>
        <w:t>a qual se encontra apenas inapta junto a Receita Federal, o que significa que ela está irregular por não entregar declarações fiscais obrigatórias por dois ou mais anos consecutivos.</w:t>
      </w:r>
      <w:r>
        <w:rPr>
          <w:rFonts w:ascii="Calibri" w:hAnsi="Calibri" w:cs="Calibri"/>
          <w:sz w:val="24"/>
          <w:szCs w:val="22"/>
        </w:rPr>
        <w:t>)</w:t>
      </w:r>
    </w:p>
    <w:p w:rsidR="00831D8D" w:rsidRDefault="00831D8D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EA4FB3" w:rsidRDefault="00293876" w:rsidP="00890563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</w:t>
      </w:r>
      <w:r w:rsidR="00831D8D">
        <w:rPr>
          <w:rFonts w:ascii="Calibri" w:hAnsi="Calibri" w:cs="Calibri"/>
          <w:sz w:val="24"/>
        </w:rPr>
        <w:t>do mandado</w:t>
      </w:r>
      <w:r w:rsidR="00831D8D" w:rsidRPr="00C663A0">
        <w:rPr>
          <w:rFonts w:ascii="Calibri" w:hAnsi="Calibri" w:cs="Calibri"/>
          <w:sz w:val="24"/>
        </w:rPr>
        <w:t xml:space="preserve"> de </w:t>
      </w:r>
      <w:r w:rsidR="00831D8D">
        <w:rPr>
          <w:rFonts w:ascii="Calibri" w:hAnsi="Calibri" w:cs="Calibri"/>
          <w:sz w:val="24"/>
        </w:rPr>
        <w:t>constatação para verificar se a empresa continua</w:t>
      </w:r>
      <w:r w:rsidR="00831D8D" w:rsidRPr="00C663A0">
        <w:rPr>
          <w:rFonts w:ascii="Calibri" w:hAnsi="Calibri" w:cs="Calibri"/>
          <w:sz w:val="24"/>
        </w:rPr>
        <w:t xml:space="preserve"> em atividade, nome do diretor, administrador e/ou gerente da empresa naquele local, número do CNPJ da empresa em atividade, nome comercial constante na fachada, dentre outras informações necessárias à identificação </w:t>
      </w:r>
      <w:r w:rsidR="00831D8D">
        <w:rPr>
          <w:rFonts w:ascii="Calibri" w:hAnsi="Calibri" w:cs="Calibri"/>
          <w:sz w:val="24"/>
        </w:rPr>
        <w:t>da empresa e atividade exercida, a fim de viabilizar o devido prosseguimento do feito.</w:t>
      </w:r>
    </w:p>
    <w:p w:rsidR="00831D8D" w:rsidRDefault="00831D8D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912AAD" w:rsidRPr="00912AAD">
        <w:rPr>
          <w:rFonts w:ascii="Calibri" w:hAnsi="Calibri" w:cs="Calibri"/>
          <w:b/>
          <w:sz w:val="24"/>
          <w:szCs w:val="22"/>
        </w:rPr>
        <w:t>ao Ministério do Trabalho e Emprego</w:t>
      </w:r>
      <w:r w:rsidR="00912AAD">
        <w:rPr>
          <w:rFonts w:ascii="Calibri" w:hAnsi="Calibri" w:cs="Calibri"/>
          <w:b/>
          <w:sz w:val="24"/>
          <w:szCs w:val="22"/>
        </w:rPr>
        <w:t xml:space="preserve"> (MTE)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e ao Instituto Nacional do Seguro Social</w:t>
      </w:r>
      <w:r w:rsidR="00912AAD">
        <w:rPr>
          <w:rFonts w:ascii="Calibri" w:hAnsi="Calibri" w:cs="Calibri"/>
          <w:b/>
          <w:sz w:val="24"/>
          <w:szCs w:val="22"/>
        </w:rPr>
        <w:t xml:space="preserve"> (INSS)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</w:t>
      </w:r>
      <w:r w:rsidR="00912AAD" w:rsidRPr="00912AAD">
        <w:rPr>
          <w:rFonts w:ascii="Calibri" w:hAnsi="Calibri" w:cs="Calibri"/>
          <w:sz w:val="24"/>
          <w:szCs w:val="22"/>
        </w:rPr>
        <w:t>para que diga</w:t>
      </w:r>
      <w:r w:rsidR="00912AAD">
        <w:rPr>
          <w:rFonts w:ascii="Calibri" w:hAnsi="Calibri" w:cs="Calibri"/>
          <w:sz w:val="24"/>
          <w:szCs w:val="22"/>
        </w:rPr>
        <w:t>m</w:t>
      </w:r>
      <w:r w:rsidR="00912AAD" w:rsidRPr="00912AAD">
        <w:rPr>
          <w:rFonts w:ascii="Calibri" w:hAnsi="Calibri" w:cs="Calibri"/>
          <w:sz w:val="24"/>
          <w:szCs w:val="22"/>
        </w:rPr>
        <w:t xml:space="preserve"> </w:t>
      </w:r>
      <w:r w:rsidR="00912AAD">
        <w:rPr>
          <w:rFonts w:ascii="Calibri" w:hAnsi="Calibri" w:cs="Calibri"/>
          <w:sz w:val="24"/>
          <w:szCs w:val="22"/>
        </w:rPr>
        <w:t>sobre</w:t>
      </w:r>
      <w:r w:rsidR="00912AAD" w:rsidRPr="00912AAD">
        <w:rPr>
          <w:rFonts w:ascii="Calibri" w:hAnsi="Calibri" w:cs="Calibri"/>
          <w:sz w:val="24"/>
          <w:szCs w:val="22"/>
        </w:rPr>
        <w:t xml:space="preserve"> vínculo</w:t>
      </w:r>
      <w:r w:rsidR="00912AAD">
        <w:rPr>
          <w:rFonts w:ascii="Calibri" w:hAnsi="Calibri" w:cs="Calibri"/>
          <w:sz w:val="24"/>
          <w:szCs w:val="22"/>
        </w:rPr>
        <w:t>s</w:t>
      </w:r>
      <w:r w:rsidR="00912AAD" w:rsidRPr="00912AAD">
        <w:rPr>
          <w:rFonts w:ascii="Calibri" w:hAnsi="Calibri" w:cs="Calibri"/>
          <w:sz w:val="24"/>
          <w:szCs w:val="22"/>
        </w:rPr>
        <w:t xml:space="preserve"> empregatício</w:t>
      </w:r>
      <w:r w:rsidR="00912AAD">
        <w:rPr>
          <w:rFonts w:ascii="Calibri" w:hAnsi="Calibri" w:cs="Calibri"/>
          <w:sz w:val="24"/>
          <w:szCs w:val="22"/>
        </w:rPr>
        <w:t>s e/ou</w:t>
      </w:r>
      <w:r w:rsidR="00912AAD" w:rsidRPr="00912AAD">
        <w:rPr>
          <w:rFonts w:ascii="Calibri" w:hAnsi="Calibri" w:cs="Calibri"/>
          <w:sz w:val="24"/>
          <w:szCs w:val="22"/>
        </w:rPr>
        <w:t xml:space="preserve"> titular</w:t>
      </w:r>
      <w:r w:rsidR="00912AAD">
        <w:rPr>
          <w:rFonts w:ascii="Calibri" w:hAnsi="Calibri" w:cs="Calibri"/>
          <w:sz w:val="24"/>
          <w:szCs w:val="22"/>
        </w:rPr>
        <w:t>idade</w:t>
      </w:r>
      <w:r w:rsidR="00912AAD" w:rsidRPr="00912AAD">
        <w:rPr>
          <w:rFonts w:ascii="Calibri" w:hAnsi="Calibri" w:cs="Calibri"/>
          <w:sz w:val="24"/>
          <w:szCs w:val="22"/>
        </w:rPr>
        <w:t xml:space="preserve"> de benefício previdenciário</w:t>
      </w:r>
      <w:r w:rsidR="005C51FE" w:rsidRPr="00912AAD">
        <w:rPr>
          <w:rFonts w:ascii="Calibri" w:hAnsi="Calibri" w:cs="Calibri"/>
          <w:sz w:val="24"/>
          <w:szCs w:val="22"/>
        </w:rPr>
        <w:t>.</w:t>
      </w:r>
    </w:p>
    <w:p w:rsidR="00912AAD" w:rsidRDefault="00912AAD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Para desde já demonstrar a legalidade do pedido e da necessidade do seu deferimento, a parte Exequente informa que, através de evidência empírica, a expedição do ofício para o Ministério Público do Trabalho e para o INSS, em busca de vínculos empregatícios e uma futura penhora salarial tem sido grande aliado para quitação do débito exequendo.</w:t>
      </w:r>
    </w:p>
    <w:p w:rsidR="00912AAD" w:rsidRPr="00912AAD" w:rsidRDefault="00912AAD" w:rsidP="00912AAD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912AAD" w:rsidRDefault="00912AAD" w:rsidP="00912AAD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Somente a título informativo, pontua-se que tal posicionamento já vinha sendo há muito adotado por algumas Turmas do c. Superior Trib</w:t>
      </w:r>
      <w:r>
        <w:rPr>
          <w:rFonts w:ascii="Calibri" w:hAnsi="Calibri" w:cs="Calibri"/>
          <w:sz w:val="24"/>
          <w:szCs w:val="22"/>
        </w:rPr>
        <w:t>unal de Justiça, assim como pelos Tribunais</w:t>
      </w:r>
      <w:r w:rsidRPr="00912AAD">
        <w:rPr>
          <w:rFonts w:ascii="Calibri" w:hAnsi="Calibri" w:cs="Calibri"/>
          <w:sz w:val="24"/>
          <w:szCs w:val="22"/>
        </w:rPr>
        <w:t>, à luz da exemplificativa ementa abaixo:</w:t>
      </w:r>
    </w:p>
    <w:p w:rsidR="00912AAD" w:rsidRDefault="00912AAD" w:rsidP="00912AAD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 w:before="0" w:after="120"/>
        <w:ind w:left="2268"/>
        <w:rPr>
          <w:rFonts w:ascii="Calibri" w:hAnsi="Calibri" w:cs="Calibri"/>
          <w:sz w:val="20"/>
          <w:szCs w:val="20"/>
        </w:rPr>
      </w:pPr>
      <w:r w:rsidRPr="00912AAD">
        <w:rPr>
          <w:rFonts w:ascii="Calibri" w:hAnsi="Calibri" w:cs="Calibri"/>
          <w:sz w:val="20"/>
          <w:szCs w:val="20"/>
        </w:rPr>
        <w:t xml:space="preserve">AGRAVO DE INSTRUMENTO. PENHORA. SALÁRIO. IMPENHORABILIDADE ABSOLUTA. RELATIVIZAÇÃO. ARTIGO 833, INCISO IV, DO CÓDIGO DE PROCESSO </w:t>
      </w:r>
      <w:r w:rsidRPr="00912AAD">
        <w:rPr>
          <w:rFonts w:ascii="Calibri" w:hAnsi="Calibri" w:cs="Calibri"/>
          <w:sz w:val="20"/>
          <w:szCs w:val="20"/>
        </w:rPr>
        <w:lastRenderedPageBreak/>
        <w:t>CIVIL. INTERPRETAÇÃO AMPLIATIVA. POSSIBILIDADE. INCLUSÃO DO DEVEDOR NO CADASTRO DE INADIMPLENTES. SERASAJUD. RECURSO CONHECIDO E PROVIDO. 1. O art. 833, inciso IV e parágrafo 2º, do Código de Processo Civil dispõe sobre a impenhorabilidade do salário, somente reputando válida a penhora quando as quantias excederem a 50 (cinquenta) salários-mínimos mensais e para satisfazer débito referente à prestação alimentícia. 2. O Superior Tribunal de Justiça e a Oitava Turma Cível do Tribunal de Justiça do Distrito Federal têm concedido interpretação ampliativa à referida norma da impenhorabilidade, aceitando retenção de proventos e salários, de forma razoável, a fim de não comprometer a sobrevivência do devedor. Ressalva pessoal do Relator. 3. A penhora de salário deve ser feita de modo parcimonioso, a fim de não comprometer a digna subsistência do devedor, observados os rendimentos mensais e os seus gastos. 4. A inovação trazida no Código de Processo Civil, com a possibilidade de inclusão do nome do devedor no cadastro de inadimplentes, imprime a chamada execução coercitiva ou indireta, que é aquela em que o Estado não atua diretamente na execução dos bens do devedor, mas usa mecanismos de convencimento para que o próprio devedor venha a quitar as obrigações inadimplidas.  5. Havendo requerimento do credor e possibilidade de utilização do sistema pelo Juízo originário, não há razões para rejeitar o pedido, sob pena de violação à Celeridade Processual e ao Princípio da Cooperação.  6. Agravo de Instrumento conhecido e provido. (Acórdão 1769131, 07330786920238070000, Relator: EUSTÁQUIO DE CASTRO, 8ª Turma Cível, data de julgamento: 10/10/2023, publicado no DJE: 20/10/2023. Pág.: Sem Página Cadastrada.)</w:t>
      </w:r>
    </w:p>
    <w:p w:rsidR="00912AAD" w:rsidRDefault="00912AAD" w:rsidP="00912AAD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Diante o exposto, requer a expedição de ofício ao Ministério do Trabalho e Emprego e ao Instituto Nacional do Seguro Social para que diga </w:t>
      </w:r>
      <w:r>
        <w:rPr>
          <w:rFonts w:ascii="Calibri" w:hAnsi="Calibri" w:cs="Calibri"/>
          <w:sz w:val="24"/>
          <w:szCs w:val="22"/>
        </w:rPr>
        <w:t>sobre a existência de</w:t>
      </w:r>
      <w:r w:rsidRPr="00912AAD">
        <w:rPr>
          <w:rFonts w:ascii="Calibri" w:hAnsi="Calibri" w:cs="Calibri"/>
          <w:sz w:val="24"/>
          <w:szCs w:val="22"/>
        </w:rPr>
        <w:t xml:space="preserve"> vínculos empregatícios </w:t>
      </w:r>
      <w:r>
        <w:rPr>
          <w:rFonts w:ascii="Calibri" w:hAnsi="Calibri" w:cs="Calibri"/>
          <w:sz w:val="24"/>
          <w:szCs w:val="22"/>
        </w:rPr>
        <w:t xml:space="preserve">e/ou titularidade </w:t>
      </w:r>
      <w:r w:rsidRPr="00912AAD">
        <w:rPr>
          <w:rFonts w:ascii="Calibri" w:hAnsi="Calibri" w:cs="Calibri"/>
          <w:sz w:val="24"/>
          <w:szCs w:val="22"/>
        </w:rPr>
        <w:t>de benefícios previdenciários.</w:t>
      </w:r>
    </w:p>
    <w:p w:rsidR="00912AAD" w:rsidRPr="00912AAD" w:rsidRDefault="00912AAD" w:rsidP="00912AAD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Pr="00912AAD">
        <w:rPr>
          <w:rFonts w:ascii="Calibri" w:hAnsi="Calibri" w:cs="Calibri"/>
          <w:sz w:val="24"/>
          <w:szCs w:val="22"/>
        </w:rPr>
        <w:t>Exequente possa oficiar as Instituições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requer, nos termos do art. 860 do CPC, seja determinada a penhora no rosto dos autos destacados abaixo, respeitados os respectivos quinhões e direitos dos ELAINE RODRIGUES DA SILVA; GENESIA RODRIGUES DAS VIRGENS.</w:t>
      </w:r>
      <w:r w:rsidR="0025693E">
        <w:rPr>
          <w:rFonts w:ascii="Calibri" w:hAnsi="Calibri" w:cs="Calibri"/>
          <w:sz w:val="24"/>
          <w:szCs w:val="22"/>
        </w:rPr>
      </w:r>
      <w:r w:rsidR="0025693E" w:rsidRPr="0025693E">
        <w:rPr>
          <w:rFonts w:ascii="Calibri" w:hAnsi="Calibri" w:cs="Calibri"/>
          <w:sz w:val="24"/>
          <w:szCs w:val="22"/>
        </w:rPr>
      </w:r>
      <w:r w:rsidR="0025693E">
        <w:rPr>
          <w:rFonts w:ascii="Calibri" w:hAnsi="Calibri" w:cs="Calibri"/>
          <w:sz w:val="24"/>
          <w:szCs w:val="22"/>
        </w:rPr>
      </w:r>
      <w:r w:rsidR="0025693E" w:rsidRPr="0025693E">
        <w:rPr>
          <w:rFonts w:ascii="Calibri" w:hAnsi="Calibri" w:cs="Calibri"/>
          <w:sz w:val="24"/>
          <w:szCs w:val="22"/>
        </w:rPr>
      </w:r>
      <w:r w:rsidR="0025693E" w:rsidRPr="0025693E">
        <w:rPr>
          <w:rFonts w:ascii="Calibri" w:hAnsi="Calibri" w:cs="Calibri"/>
          <w:sz w:val="24"/>
          <w:szCs w:val="22"/>
        </w:rPr>
      </w:r>
      <w:r w:rsidR="0025693E">
        <w:rPr>
          <w:rFonts w:ascii="Calibri" w:hAnsi="Calibri" w:cs="Calibri"/>
          <w:sz w:val="24"/>
          <w:szCs w:val="22"/>
        </w:rPr>
      </w:r>
    </w:p>
    <w:p w:rsidR="0025693E" w:rsidRDefault="0025693E" w:rsidP="00293876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25693E">
        <w:rPr>
          <w:rFonts w:ascii="Calibri" w:hAnsi="Calibri" w:cs="Calibri"/>
          <w:color w:val="FF0000"/>
          <w:sz w:val="24"/>
          <w:szCs w:val="22"/>
        </w:rPr>
        <w:t>Descrever o número do processo, juízo de tramitação, parte credora, valor da causa</w:t>
      </w:r>
      <w:r>
        <w:rPr>
          <w:rFonts w:ascii="Calibri" w:hAnsi="Calibri" w:cs="Calibri"/>
          <w:sz w:val="24"/>
          <w:szCs w:val="22"/>
        </w:rPr>
        <w:t>)</w:t>
      </w:r>
    </w:p>
    <w:p w:rsidR="0025693E" w:rsidRDefault="0025693E" w:rsidP="00293876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t>Seja confer</w:t>
      </w:r>
      <w:r>
        <w:rPr>
          <w:rFonts w:ascii="Calibri" w:hAnsi="Calibri" w:cs="Calibri"/>
          <w:sz w:val="24"/>
          <w:szCs w:val="22"/>
        </w:rPr>
        <w:t>ido efeito de ofício à d</w:t>
      </w:r>
      <w:r w:rsidRPr="0025693E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requisitos do art. 838, do CPC,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25693E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do artigo 838, visando evitar eventuais nulidades.</w:t>
      </w:r>
    </w:p>
    <w:p w:rsidR="0025693E" w:rsidRDefault="0025693E" w:rsidP="00293876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lastRenderedPageBreak/>
        <w:t>Alternativamente, caso assim não entenda, requer seja determinada a expedição de Termo de Penhora para que possamos realizar os registros de penhora, observando os requisitos do art. 838, do CPC/15, para evitar eventuais nulidades.</w:t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ECA" w:rsidRDefault="004E2ECA" w:rsidP="00254007">
      <w:r>
        <w:separator/>
      </w:r>
    </w:p>
  </w:endnote>
  <w:endnote w:type="continuationSeparator" w:id="0">
    <w:p w:rsidR="004E2ECA" w:rsidRDefault="004E2EC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474D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831D8D" w:rsidRDefault="00831D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ECA" w:rsidRDefault="004E2ECA" w:rsidP="00254007">
      <w:r>
        <w:separator/>
      </w:r>
    </w:p>
  </w:footnote>
  <w:footnote w:type="continuationSeparator" w:id="0">
    <w:p w:rsidR="004E2ECA" w:rsidRDefault="004E2EC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1D8D" w:rsidRDefault="00831D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2ECA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474D9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C172F15-78F1-4FF8-A737-3B7C81B1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