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AE5F8A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4C7C5C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</w:t>
      </w:r>
      <w:r w:rsidR="001540CD">
        <w:rPr>
          <w:rFonts w:ascii="Calibri" w:hAnsi="Calibri" w:cs="Calibri"/>
          <w:sz w:val="24"/>
          <w:szCs w:val="22"/>
        </w:rPr>
        <w:t>a</w:t>
      </w:r>
      <w:r w:rsidR="001540CD" w:rsidRPr="001540CD">
        <w:rPr>
          <w:rFonts w:ascii="Calibri" w:hAnsi="Calibri" w:cs="Calibri"/>
          <w:sz w:val="24"/>
          <w:szCs w:val="22"/>
        </w:rPr>
        <w:t xml:space="preserve"> consulta ao sistema </w:t>
      </w:r>
      <w:r w:rsidR="001540CD" w:rsidRPr="001540CD">
        <w:rPr>
          <w:rFonts w:ascii="Calibri" w:hAnsi="Calibri" w:cs="Calibri"/>
          <w:b/>
          <w:sz w:val="24"/>
          <w:szCs w:val="22"/>
        </w:rPr>
        <w:t xml:space="preserve">INFOSEG </w:t>
      </w:r>
      <w:r w:rsidR="001540CD" w:rsidRPr="001540CD">
        <w:rPr>
          <w:rFonts w:ascii="Calibri" w:hAnsi="Calibri" w:cs="Calibri"/>
          <w:sz w:val="24"/>
          <w:szCs w:val="22"/>
        </w:rPr>
        <w:t xml:space="preserve">em nome </w:t>
      </w:r>
      <w:r w:rsidR="001540CD" w:rsidRPr="001540CD">
        <w:rPr>
          <w:rFonts w:ascii="Calibri" w:hAnsi="Calibri" w:cs="Calibri"/>
          <w:sz w:val="24"/>
          <w:szCs w:val="22"/>
          <w:highlight w:val="yellow"/>
        </w:rPr>
        <w:t>(do ou dos</w:t>
      </w:r>
      <w:r w:rsidR="00AE5F8A">
        <w:rPr>
          <w:rFonts w:ascii="Calibri" w:hAnsi="Calibri" w:cs="Calibri"/>
          <w:sz w:val="24"/>
          <w:szCs w:val="22"/>
          <w:highlight w:val="yellow"/>
        </w:rPr>
        <w:t xml:space="preserve"> ou da ou das</w:t>
      </w:r>
      <w:r w:rsidR="001540CD" w:rsidRPr="001540CD">
        <w:rPr>
          <w:rFonts w:ascii="Calibri" w:hAnsi="Calibri" w:cs="Calibri"/>
          <w:sz w:val="24"/>
          <w:szCs w:val="22"/>
          <w:highlight w:val="yellow"/>
        </w:rPr>
        <w:t>) (executado ou executados</w:t>
      </w:r>
      <w:r w:rsidR="00AE5F8A">
        <w:rPr>
          <w:rFonts w:ascii="Calibri" w:hAnsi="Calibri" w:cs="Calibri"/>
          <w:sz w:val="24"/>
          <w:szCs w:val="22"/>
          <w:highlight w:val="yellow"/>
        </w:rPr>
        <w:t xml:space="preserve"> ou executada ou executadas</w:t>
      </w:r>
      <w:r w:rsidR="001540CD" w:rsidRPr="001540CD">
        <w:rPr>
          <w:rFonts w:ascii="Calibri" w:hAnsi="Calibri" w:cs="Calibri"/>
          <w:sz w:val="24"/>
          <w:szCs w:val="22"/>
          <w:highlight w:val="yellow"/>
        </w:rPr>
        <w:t>)</w:t>
      </w:r>
      <w:r w:rsidR="001540CD" w:rsidRPr="001540CD">
        <w:rPr>
          <w:rFonts w:ascii="Calibri" w:hAnsi="Calibri" w:cs="Calibri"/>
          <w:sz w:val="24"/>
          <w:szCs w:val="22"/>
        </w:rPr>
        <w:t>, visando, dentre outras funcionalidades, encontrar bens outros, como: veículos (SINIVEM, SISME (MERCOSUL), OCR, placa, ANTT, Embarcações, Aeronaves), bem como armas (SINARM (Policia federal), SIGMA (Exercito), SINAD, SISME/MERCOSUL, Desarma).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270B2A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815" w:rsidRDefault="00B50815" w:rsidP="00254007">
      <w:r>
        <w:separator/>
      </w:r>
    </w:p>
  </w:endnote>
  <w:endnote w:type="continuationSeparator" w:id="0">
    <w:p w:rsidR="00B50815" w:rsidRDefault="00B50815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270B2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270B2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815" w:rsidRDefault="00B50815" w:rsidP="00254007">
      <w:r>
        <w:separator/>
      </w:r>
    </w:p>
  </w:footnote>
  <w:footnote w:type="continuationSeparator" w:id="0">
    <w:p w:rsidR="00B50815" w:rsidRDefault="00B50815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820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540CD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0B2A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5C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E5F8A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0815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73EBA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3A3401A-0CB1-4943-88D9-A86B5C5F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