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8C2BC9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25693E">
        <w:rPr>
          <w:rFonts w:ascii="Calibri" w:hAnsi="Calibri" w:cs="Calibri"/>
          <w:sz w:val="24"/>
          <w:szCs w:val="22"/>
        </w:rPr>
        <w:t>, nos termos do art. 860 do CPC</w:t>
      </w:r>
      <w:r w:rsidR="0025693E" w:rsidRPr="0025693E">
        <w:rPr>
          <w:rFonts w:ascii="Calibri" w:hAnsi="Calibri" w:cs="Calibri"/>
          <w:sz w:val="24"/>
          <w:szCs w:val="22"/>
        </w:rPr>
        <w:t>, seja determinada a penhora n</w:t>
      </w:r>
      <w:r w:rsidR="0025693E">
        <w:rPr>
          <w:rFonts w:ascii="Calibri" w:hAnsi="Calibri" w:cs="Calibri"/>
          <w:sz w:val="24"/>
          <w:szCs w:val="22"/>
        </w:rPr>
        <w:t xml:space="preserve">o rosto dos autos destacados </w:t>
      </w:r>
      <w:r w:rsidR="0025693E" w:rsidRPr="0025693E">
        <w:rPr>
          <w:rFonts w:ascii="Calibri" w:hAnsi="Calibri" w:cs="Calibri"/>
          <w:sz w:val="24"/>
          <w:szCs w:val="22"/>
        </w:rPr>
        <w:t xml:space="preserve">abaixo, respeitados os respectivos quinhões e direitos </w:t>
      </w:r>
      <w:r w:rsidR="0025693E" w:rsidRPr="0025693E">
        <w:rPr>
          <w:rFonts w:ascii="Calibri" w:hAnsi="Calibri" w:cs="Calibri"/>
          <w:sz w:val="24"/>
          <w:szCs w:val="22"/>
          <w:highlight w:val="yellow"/>
        </w:rPr>
        <w:t>(do ou dos</w:t>
      </w:r>
      <w:r w:rsidR="008C2BC9">
        <w:rPr>
          <w:rFonts w:ascii="Calibri" w:hAnsi="Calibri" w:cs="Calibri"/>
          <w:sz w:val="24"/>
          <w:szCs w:val="22"/>
          <w:highlight w:val="yellow"/>
        </w:rPr>
        <w:t xml:space="preserve"> ou da ou das</w:t>
      </w:r>
      <w:r w:rsidR="0025693E" w:rsidRPr="0025693E">
        <w:rPr>
          <w:rFonts w:ascii="Calibri" w:hAnsi="Calibri" w:cs="Calibri"/>
          <w:sz w:val="24"/>
          <w:szCs w:val="22"/>
          <w:highlight w:val="yellow"/>
        </w:rPr>
        <w:t>) (executado ou executados</w:t>
      </w:r>
      <w:r w:rsidR="008C2BC9">
        <w:rPr>
          <w:rFonts w:ascii="Calibri" w:hAnsi="Calibri" w:cs="Calibri"/>
          <w:sz w:val="24"/>
          <w:szCs w:val="22"/>
          <w:highlight w:val="yellow"/>
        </w:rPr>
        <w:t xml:space="preserve"> ou executada ou executadas</w:t>
      </w:r>
      <w:r w:rsidR="0025693E" w:rsidRPr="0025693E">
        <w:rPr>
          <w:rFonts w:ascii="Calibri" w:hAnsi="Calibri" w:cs="Calibri"/>
          <w:sz w:val="24"/>
          <w:szCs w:val="22"/>
          <w:highlight w:val="yellow"/>
        </w:rPr>
        <w:t>)</w:t>
      </w:r>
      <w:r w:rsidR="0025693E">
        <w:rPr>
          <w:rFonts w:ascii="Calibri" w:hAnsi="Calibri" w:cs="Calibri"/>
          <w:sz w:val="24"/>
          <w:szCs w:val="22"/>
        </w:rPr>
        <w:t>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Pr="008C2BC9" w:rsidRDefault="0025693E" w:rsidP="00293876">
      <w:pPr>
        <w:spacing w:line="360" w:lineRule="auto"/>
        <w:rPr>
          <w:rFonts w:ascii="Calibri" w:hAnsi="Calibri" w:cs="Calibri"/>
          <w:color w:val="FF0000"/>
          <w:sz w:val="24"/>
          <w:szCs w:val="22"/>
        </w:rPr>
      </w:pPr>
      <w:r w:rsidRPr="008C2BC9">
        <w:rPr>
          <w:rFonts w:ascii="Calibri" w:hAnsi="Calibri" w:cs="Calibri"/>
          <w:color w:val="FF0000"/>
          <w:sz w:val="24"/>
          <w:szCs w:val="22"/>
        </w:rPr>
        <w:t>(Descrever o número do processo, juízo de tramitação, parte credora, valor da causa)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t>Seja confer</w:t>
      </w:r>
      <w:r>
        <w:rPr>
          <w:rFonts w:ascii="Calibri" w:hAnsi="Calibri" w:cs="Calibri"/>
          <w:sz w:val="24"/>
          <w:szCs w:val="22"/>
        </w:rPr>
        <w:t>ido efeito de ofício à d</w:t>
      </w:r>
      <w:r w:rsidRPr="0025693E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requisitos do art. 838, do CPC,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25693E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do artigo 838, visando evitar eventuais nulidades.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lastRenderedPageBreak/>
        <w:t>Alternativamente, caso assim não entenda, requer seja determinada a expedição de Termo de Penhora para que possamos realizar os registros de penhora, observando os requisitos do art. 838, do CPC/15, para evitar eventuais nulidades.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740575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F0B" w:rsidRDefault="001C3F0B" w:rsidP="00254007">
      <w:r>
        <w:separator/>
      </w:r>
    </w:p>
  </w:endnote>
  <w:endnote w:type="continuationSeparator" w:id="0">
    <w:p w:rsidR="001C3F0B" w:rsidRDefault="001C3F0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740575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740575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F0B" w:rsidRDefault="001C3F0B" w:rsidP="00254007">
      <w:r>
        <w:separator/>
      </w:r>
    </w:p>
  </w:footnote>
  <w:footnote w:type="continuationSeparator" w:id="0">
    <w:p w:rsidR="001C3F0B" w:rsidRDefault="001C3F0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C3F0B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5693E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0575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2BC9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3A31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B80AB17-2548-4A03-857E-015D988E6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