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47D7" w:rsidRPr="00CC18FA" w:rsidRDefault="00D947D7" w:rsidP="00D947D7">
      <w:pPr>
        <w:autoSpaceDE w:val="0"/>
        <w:autoSpaceDN w:val="0"/>
        <w:adjustRightInd w:val="0"/>
        <w:spacing w:line="360" w:lineRule="auto"/>
        <w:rPr>
          <w:rFonts w:ascii="Calibri" w:hAnsi="Calibri" w:cs="Calibri,Bold"/>
          <w:b/>
          <w:bCs/>
          <w:color w:val="000000"/>
          <w:sz w:val="24"/>
          <w:szCs w:val="22"/>
        </w:rPr>
      </w:pPr>
      <w:proofErr w:type="gramStart"/>
      <w:r w:rsidRPr="00CC18FA">
        <w:rPr>
          <w:rFonts w:ascii="Calibri" w:hAnsi="Calibri" w:cs="Calibri,Bold"/>
          <w:b/>
          <w:bCs/>
          <w:color w:val="000000"/>
          <w:sz w:val="24"/>
          <w:szCs w:val="22"/>
        </w:rPr>
        <w:t>EXCELENTÍSSIMO(</w:t>
      </w:r>
      <w:proofErr w:type="gramEnd"/>
      <w:r w:rsidRPr="00CC18FA">
        <w:rPr>
          <w:rFonts w:ascii="Calibri" w:hAnsi="Calibri" w:cs="Calibri,Bold"/>
          <w:b/>
          <w:bCs/>
          <w:color w:val="000000"/>
          <w:sz w:val="24"/>
          <w:szCs w:val="22"/>
        </w:rPr>
        <w:t xml:space="preserve">A) SENHOR(A) </w:t>
      </w:r>
      <w:r>
        <w:rPr>
          <w:rFonts w:ascii="Calibri" w:hAnsi="Calibri" w:cs="Calibri,Bold"/>
          <w:b/>
          <w:bCs/>
          <w:color w:val="000000"/>
          <w:sz w:val="24"/>
          <w:szCs w:val="22"/>
        </w:rPr>
        <w:t xml:space="preserve">JUIZ(A) DE DIREITO DA </w:t>
      </w:r>
      <w:r w:rsidRPr="00293876">
        <w:rPr>
          <w:rFonts w:ascii="Calibri" w:hAnsi="Calibri" w:cs="Calibri,Bold"/>
          <w:b/>
          <w:bCs/>
          <w:color w:val="000000"/>
          <w:sz w:val="24"/>
          <w:szCs w:val="22"/>
          <w:highlight w:val="yellow"/>
        </w:rPr>
        <w:t>(secretaria)</w:t>
      </w:r>
      <w:r>
        <w:rPr>
          <w:rFonts w:ascii="Calibri" w:hAnsi="Calibri" w:cs="Calibri,Bold"/>
          <w:b/>
          <w:bCs/>
          <w:color w:val="000000"/>
          <w:sz w:val="24"/>
          <w:szCs w:val="22"/>
        </w:rPr>
        <w:t xml:space="preserve"> DA COMARCA DE</w:t>
      </w:r>
      <w:r w:rsidRPr="00B715C1">
        <w:rPr>
          <w:rFonts w:ascii="Calibri" w:hAnsi="Calibri" w:cs="Calibri,Bold"/>
          <w:b/>
          <w:bCs/>
          <w:color w:val="000000"/>
          <w:sz w:val="24"/>
          <w:szCs w:val="22"/>
        </w:rPr>
        <w:t xml:space="preserve"> </w:t>
      </w:r>
      <w:r w:rsidRPr="00293876">
        <w:rPr>
          <w:rFonts w:ascii="Calibri" w:hAnsi="Calibri" w:cs="Calibri,Bold"/>
          <w:b/>
          <w:bCs/>
          <w:color w:val="000000"/>
          <w:sz w:val="24"/>
          <w:szCs w:val="22"/>
          <w:highlight w:val="yellow"/>
        </w:rPr>
        <w:t>(município ou regional)</w:t>
      </w:r>
      <w:r>
        <w:rPr>
          <w:rFonts w:ascii="Calibri" w:hAnsi="Calibri" w:cs="Calibri,Bold"/>
          <w:b/>
          <w:bCs/>
          <w:color w:val="000000"/>
          <w:sz w:val="24"/>
          <w:szCs w:val="22"/>
        </w:rPr>
        <w:t>/</w:t>
      </w:r>
      <w:r w:rsidRPr="00293876">
        <w:rPr>
          <w:rFonts w:ascii="Calibri" w:hAnsi="Calibri" w:cs="Calibri,Bold"/>
          <w:b/>
          <w:bCs/>
          <w:color w:val="000000"/>
          <w:sz w:val="24"/>
          <w:szCs w:val="22"/>
          <w:highlight w:val="yellow"/>
        </w:rPr>
        <w:t>(abreviação do estado)</w:t>
      </w:r>
    </w:p>
    <w:p w:rsidR="009735CB" w:rsidRDefault="00961B36" w:rsidP="004F11E1">
      <w:pPr>
        <w:pStyle w:val="NormalWeb"/>
        <w:spacing w:line="276" w:lineRule="auto"/>
        <w:ind w:left="14" w:right="-16"/>
        <w:jc w:val="both"/>
        <w:rPr>
          <w:rFonts w:ascii="Calibri" w:hAnsi="Calibri" w:cs="Calibri"/>
          <w:b/>
          <w:bCs/>
          <w:color w:val="000000"/>
        </w:rPr>
      </w:pPr>
      <w:r>
        <w:rPr>
          <w:rFonts w:ascii="Calibri" w:hAnsi="Calibri" w:cs="Calibri"/>
          <w:b/>
          <w:bCs/>
          <w:color w:val="000000"/>
        </w:rPr>
        <w:t> </w:t>
      </w:r>
    </w:p>
    <w:p w:rsidR="00D947D7" w:rsidRPr="00CC18FA" w:rsidRDefault="00D947D7" w:rsidP="00D947D7">
      <w:pPr>
        <w:rPr>
          <w:rFonts w:ascii="Calibri" w:hAnsi="Calibri" w:cs="Calibri,Bold"/>
          <w:b/>
          <w:bCs/>
          <w:color w:val="000000"/>
          <w:sz w:val="24"/>
          <w:szCs w:val="22"/>
        </w:rPr>
      </w:pPr>
      <w:r w:rsidRPr="00CC18FA">
        <w:rPr>
          <w:rFonts w:ascii="Calibri" w:hAnsi="Calibri" w:cs="Calibri,Bold"/>
          <w:b/>
          <w:bCs/>
          <w:color w:val="000000"/>
          <w:sz w:val="24"/>
          <w:szCs w:val="22"/>
        </w:rPr>
        <w:t xml:space="preserve">Processo n°: </w:t>
      </w:r>
      <w:r w:rsidRPr="00293876">
        <w:rPr>
          <w:rFonts w:ascii="Calibri" w:hAnsi="Calibri" w:cs="Calibri,Bold"/>
          <w:b/>
          <w:bCs/>
          <w:color w:val="000000"/>
          <w:sz w:val="24"/>
          <w:szCs w:val="22"/>
          <w:highlight w:val="yellow"/>
        </w:rPr>
        <w:t>(número do processo)</w:t>
      </w:r>
    </w:p>
    <w:p w:rsidR="004F11E1" w:rsidRPr="004F11E1" w:rsidRDefault="004F11E1" w:rsidP="004F11E1">
      <w:pPr>
        <w:pStyle w:val="NormalWeb"/>
        <w:spacing w:line="276" w:lineRule="auto"/>
        <w:ind w:left="14" w:right="-16"/>
        <w:rPr>
          <w:rFonts w:ascii="Calibri" w:hAnsi="Calibri" w:cs="Calibri"/>
          <w:b/>
          <w:bCs/>
          <w:color w:val="000000"/>
        </w:rPr>
      </w:pPr>
    </w:p>
    <w:p w:rsidR="00D947D7" w:rsidRDefault="00D947D7" w:rsidP="00D947D7">
      <w:pPr>
        <w:spacing w:line="360" w:lineRule="auto"/>
        <w:rPr>
          <w:rFonts w:ascii="Calibri" w:hAnsi="Calibri" w:cs="Calibri"/>
          <w:sz w:val="24"/>
          <w:szCs w:val="22"/>
        </w:rPr>
      </w:pPr>
      <w:r w:rsidRPr="00293876">
        <w:rPr>
          <w:rFonts w:ascii="Calibri" w:hAnsi="Calibri" w:cs="Calibri"/>
          <w:b/>
          <w:bCs/>
          <w:color w:val="000000"/>
          <w:sz w:val="24"/>
          <w:szCs w:val="22"/>
          <w:highlight w:val="yellow"/>
        </w:rPr>
        <w:t>(autor)</w:t>
      </w:r>
      <w:r w:rsidRPr="00CC18FA">
        <w:rPr>
          <w:rFonts w:ascii="Calibri" w:hAnsi="Calibri" w:cs="Calibri"/>
          <w:color w:val="000000"/>
          <w:sz w:val="24"/>
          <w:szCs w:val="22"/>
        </w:rPr>
        <w:t xml:space="preserve">, </w:t>
      </w:r>
      <w:r>
        <w:rPr>
          <w:rFonts w:ascii="Calibri" w:hAnsi="Calibri" w:cs="Calibri"/>
          <w:color w:val="000000"/>
          <w:sz w:val="24"/>
          <w:szCs w:val="22"/>
        </w:rPr>
        <w:t xml:space="preserve">já </w:t>
      </w:r>
      <w:r w:rsidRPr="00CC18FA">
        <w:rPr>
          <w:rFonts w:ascii="Calibri" w:hAnsi="Calibri" w:cs="Calibri"/>
          <w:color w:val="000000"/>
          <w:sz w:val="24"/>
          <w:szCs w:val="22"/>
        </w:rPr>
        <w:t>qualificada nos autos epigrafados, em que conte</w:t>
      </w:r>
      <w:r>
        <w:rPr>
          <w:rFonts w:ascii="Calibri" w:hAnsi="Calibri" w:cs="Calibri"/>
          <w:color w:val="000000"/>
          <w:sz w:val="24"/>
          <w:szCs w:val="22"/>
        </w:rPr>
        <w:t xml:space="preserve">nde com </w:t>
      </w:r>
      <w:r w:rsidRPr="00293876">
        <w:rPr>
          <w:rFonts w:ascii="Calibri" w:hAnsi="Calibri" w:cs="Calibri,Bold"/>
          <w:b/>
          <w:bCs/>
          <w:color w:val="000000"/>
          <w:sz w:val="24"/>
          <w:szCs w:val="22"/>
          <w:highlight w:val="yellow"/>
        </w:rPr>
        <w:t>(</w:t>
      </w:r>
      <w:r w:rsidR="00031FD7">
        <w:rPr>
          <w:rFonts w:ascii="Calibri" w:hAnsi="Calibri" w:cs="Calibri,Bold"/>
          <w:b/>
          <w:bCs/>
          <w:color w:val="000000"/>
          <w:sz w:val="24"/>
          <w:szCs w:val="22"/>
          <w:highlight w:val="yellow"/>
        </w:rPr>
        <w:t xml:space="preserve">ré ou rés ou </w:t>
      </w:r>
      <w:r w:rsidRPr="00293876">
        <w:rPr>
          <w:rFonts w:ascii="Calibri" w:hAnsi="Calibri" w:cs="Calibri,Bold"/>
          <w:b/>
          <w:bCs/>
          <w:color w:val="000000"/>
          <w:sz w:val="24"/>
          <w:szCs w:val="22"/>
          <w:highlight w:val="yellow"/>
        </w:rPr>
        <w:t>réu ou réus)</w:t>
      </w:r>
      <w:r w:rsidRPr="00CC18FA">
        <w:rPr>
          <w:rFonts w:ascii="Calibri" w:hAnsi="Calibri" w:cs="Calibri"/>
          <w:sz w:val="24"/>
          <w:szCs w:val="22"/>
        </w:rPr>
        <w:t xml:space="preserve">, vem respeitosamente perante V. </w:t>
      </w:r>
      <w:proofErr w:type="spellStart"/>
      <w:r w:rsidRPr="00CC18FA">
        <w:rPr>
          <w:rFonts w:ascii="Calibri" w:hAnsi="Calibri" w:cs="Calibri"/>
          <w:sz w:val="24"/>
          <w:szCs w:val="22"/>
        </w:rPr>
        <w:t>Exa</w:t>
      </w:r>
      <w:proofErr w:type="spellEnd"/>
      <w:proofErr w:type="gramStart"/>
      <w:r w:rsidRPr="00CC18FA">
        <w:rPr>
          <w:rFonts w:ascii="Calibri" w:hAnsi="Calibri" w:cs="Calibri"/>
          <w:sz w:val="24"/>
          <w:szCs w:val="22"/>
        </w:rPr>
        <w:t>.,</w:t>
      </w:r>
      <w:proofErr w:type="gramEnd"/>
      <w:r w:rsidRPr="00CC18FA">
        <w:rPr>
          <w:rFonts w:ascii="Calibri" w:hAnsi="Calibri" w:cs="Calibri"/>
          <w:sz w:val="24"/>
          <w:szCs w:val="22"/>
        </w:rPr>
        <w:t xml:space="preserve"> </w:t>
      </w:r>
      <w:r>
        <w:rPr>
          <w:rFonts w:ascii="Calibri" w:hAnsi="Calibri" w:cs="Calibri"/>
          <w:sz w:val="24"/>
          <w:szCs w:val="22"/>
        </w:rPr>
        <w:t xml:space="preserve">manifestar e requerer o que segue. </w:t>
      </w:r>
    </w:p>
    <w:p w:rsidR="00D947D7" w:rsidRDefault="00D947D7" w:rsidP="00D947D7">
      <w:pPr>
        <w:spacing w:line="360" w:lineRule="auto"/>
        <w:rPr>
          <w:rFonts w:ascii="Calibri" w:hAnsi="Calibri" w:cs="Calibri"/>
          <w:sz w:val="24"/>
          <w:szCs w:val="22"/>
        </w:rPr>
      </w:pPr>
    </w:p>
    <w:p w:rsidR="00EC603B" w:rsidRDefault="00EC603B" w:rsidP="00EC603B">
      <w:pPr>
        <w:spacing w:line="360" w:lineRule="auto"/>
        <w:rPr>
          <w:rFonts w:ascii="Calibri" w:hAnsi="Calibri" w:cs="Calibri"/>
          <w:color w:val="FF0000"/>
          <w:sz w:val="24"/>
        </w:rPr>
      </w:pPr>
      <w:r w:rsidRPr="00EC603B">
        <w:rPr>
          <w:rFonts w:ascii="Calibri" w:hAnsi="Calibri" w:cs="Calibri"/>
          <w:color w:val="FF0000"/>
          <w:sz w:val="24"/>
        </w:rPr>
        <w:t>(</w:t>
      </w:r>
      <w:r w:rsidRPr="00D947D7">
        <w:rPr>
          <w:rFonts w:ascii="Calibri" w:hAnsi="Calibri" w:cs="Calibri"/>
          <w:color w:val="FF0000"/>
          <w:sz w:val="24"/>
        </w:rPr>
        <w:t>Descrever o documento de referência, motivo, empresa empregadora e CNPJ</w:t>
      </w:r>
      <w:r>
        <w:rPr>
          <w:rFonts w:ascii="Calibri" w:hAnsi="Calibri" w:cs="Calibri"/>
          <w:color w:val="FF0000"/>
          <w:sz w:val="24"/>
        </w:rPr>
        <w:t>, exemplo</w:t>
      </w:r>
      <w:r w:rsidRPr="00D947D7">
        <w:rPr>
          <w:rFonts w:ascii="Calibri" w:hAnsi="Calibri" w:cs="Calibri"/>
          <w:color w:val="FF0000"/>
          <w:sz w:val="24"/>
        </w:rPr>
        <w:t xml:space="preserve">: </w:t>
      </w:r>
      <w:r w:rsidRPr="00283D28">
        <w:rPr>
          <w:rFonts w:ascii="Calibri" w:hAnsi="Calibri" w:cs="Calibri"/>
          <w:color w:val="FF0000"/>
          <w:sz w:val="24"/>
        </w:rPr>
        <w:t xml:space="preserve">diante do retorno positivo da pesquisa junto ao </w:t>
      </w:r>
      <w:r>
        <w:rPr>
          <w:rFonts w:ascii="Calibri" w:hAnsi="Calibri" w:cs="Calibri"/>
          <w:color w:val="FF0000"/>
          <w:sz w:val="24"/>
        </w:rPr>
        <w:t>xxx</w:t>
      </w:r>
      <w:r w:rsidRPr="00283D28">
        <w:rPr>
          <w:rFonts w:ascii="Calibri" w:hAnsi="Calibri" w:cs="Calibri"/>
          <w:color w:val="FF0000"/>
          <w:sz w:val="24"/>
        </w:rPr>
        <w:t xml:space="preserve">, constatou-se que existe vinculo junto ao empregador </w:t>
      </w:r>
      <w:r>
        <w:rPr>
          <w:rFonts w:ascii="Calibri" w:hAnsi="Calibri" w:cs="Calibri"/>
          <w:color w:val="FF0000"/>
          <w:sz w:val="24"/>
        </w:rPr>
        <w:t>xxx</w:t>
      </w:r>
      <w:r w:rsidRPr="00283D28">
        <w:rPr>
          <w:rFonts w:ascii="Calibri" w:hAnsi="Calibri" w:cs="Calibri"/>
          <w:color w:val="FF0000"/>
          <w:sz w:val="24"/>
        </w:rPr>
        <w:t xml:space="preserve">, inscrito no CNPJ </w:t>
      </w:r>
      <w:r>
        <w:rPr>
          <w:rFonts w:ascii="Calibri" w:hAnsi="Calibri" w:cs="Calibri"/>
          <w:color w:val="FF0000"/>
          <w:sz w:val="24"/>
        </w:rPr>
        <w:t>xxx</w:t>
      </w:r>
      <w:proofErr w:type="gramStart"/>
      <w:r>
        <w:rPr>
          <w:rFonts w:ascii="Calibri" w:hAnsi="Calibri" w:cs="Calibri"/>
          <w:color w:val="FF0000"/>
          <w:sz w:val="24"/>
        </w:rPr>
        <w:t>)</w:t>
      </w:r>
      <w:proofErr w:type="gramEnd"/>
    </w:p>
    <w:p w:rsidR="00EC603B" w:rsidRDefault="00EC603B" w:rsidP="00EC603B">
      <w:pPr>
        <w:spacing w:line="360" w:lineRule="auto"/>
        <w:rPr>
          <w:rFonts w:ascii="Calibri" w:hAnsi="Calibri" w:cs="Calibri"/>
          <w:color w:val="FF0000"/>
          <w:sz w:val="24"/>
        </w:rPr>
      </w:pPr>
    </w:p>
    <w:p w:rsidR="00EC603B" w:rsidRPr="00D947D7" w:rsidRDefault="00EC603B" w:rsidP="00EC603B">
      <w:pPr>
        <w:spacing w:line="360" w:lineRule="auto"/>
        <w:rPr>
          <w:rFonts w:ascii="Calibri" w:hAnsi="Calibri" w:cs="Calibri"/>
          <w:color w:val="000000"/>
          <w:sz w:val="24"/>
        </w:rPr>
      </w:pPr>
      <w:r w:rsidRPr="00283D28">
        <w:rPr>
          <w:rFonts w:ascii="Calibri" w:hAnsi="Calibri" w:cs="Calibri"/>
          <w:color w:val="000000"/>
          <w:sz w:val="24"/>
        </w:rPr>
        <w:t>Diante disso, requer a</w:t>
      </w:r>
      <w:r>
        <w:rPr>
          <w:rFonts w:ascii="Calibri" w:hAnsi="Calibri" w:cs="Calibri"/>
          <w:color w:val="000000"/>
          <w:sz w:val="24"/>
        </w:rPr>
        <w:t xml:space="preserve"> parte</w:t>
      </w:r>
      <w:r w:rsidRPr="00283D28">
        <w:rPr>
          <w:rFonts w:ascii="Calibri" w:hAnsi="Calibri" w:cs="Calibri"/>
          <w:color w:val="000000"/>
          <w:sz w:val="24"/>
        </w:rPr>
        <w:t xml:space="preserve"> Exequente que </w:t>
      </w:r>
      <w:proofErr w:type="gramStart"/>
      <w:r w:rsidRPr="00283D28">
        <w:rPr>
          <w:rFonts w:ascii="Calibri" w:hAnsi="Calibri" w:cs="Calibri"/>
          <w:color w:val="000000"/>
          <w:sz w:val="24"/>
        </w:rPr>
        <w:t>seja oficiado</w:t>
      </w:r>
      <w:proofErr w:type="gramEnd"/>
      <w:r w:rsidRPr="00283D28">
        <w:rPr>
          <w:rFonts w:ascii="Calibri" w:hAnsi="Calibri" w:cs="Calibri"/>
          <w:color w:val="000000"/>
          <w:sz w:val="24"/>
        </w:rPr>
        <w:t xml:space="preserve"> </w:t>
      </w:r>
      <w:r w:rsidRPr="00031FD7">
        <w:rPr>
          <w:rFonts w:ascii="Calibri" w:hAnsi="Calibri" w:cs="Calibri"/>
          <w:sz w:val="24"/>
          <w:highlight w:val="yellow"/>
        </w:rPr>
        <w:t>o empregador</w:t>
      </w:r>
      <w:r w:rsidR="00031FD7" w:rsidRPr="00031FD7">
        <w:rPr>
          <w:rFonts w:ascii="Calibri" w:hAnsi="Calibri" w:cs="Calibri"/>
          <w:sz w:val="24"/>
          <w:highlight w:val="yellow"/>
        </w:rPr>
      </w:r>
      <w:r w:rsidR="00031FD7">
        <w:rPr>
          <w:rFonts w:ascii="Calibri" w:hAnsi="Calibri" w:cs="Calibri"/>
          <w:sz w:val="24"/>
        </w:rPr>
      </w:r>
      <w:r w:rsidRPr="00283D28">
        <w:rPr>
          <w:rFonts w:ascii="Calibri" w:hAnsi="Calibri" w:cs="Calibri"/>
          <w:color w:val="FF0000"/>
          <w:sz w:val="24"/>
        </w:rPr>
        <w:t xml:space="preserve"> </w:t>
      </w:r>
      <w:r w:rsidR="00031FD7">
        <w:rPr>
          <w:rFonts w:ascii="Calibri" w:hAnsi="Calibri" w:cs="Calibri"/>
          <w:color w:val="FF0000"/>
          <w:sz w:val="24"/>
        </w:rPr>
        <w:t>(</w:t>
      </w:r>
      <w:r w:rsidRPr="00283D28">
        <w:rPr>
          <w:rFonts w:ascii="Calibri" w:hAnsi="Calibri" w:cs="Calibri"/>
          <w:color w:val="FF0000"/>
          <w:sz w:val="24"/>
        </w:rPr>
        <w:t>xxx</w:t>
      </w:r>
      <w:r>
        <w:rPr>
          <w:rFonts w:ascii="Calibri" w:hAnsi="Calibri" w:cs="Calibri"/>
          <w:color w:val="FF0000"/>
          <w:sz w:val="24"/>
        </w:rPr>
        <w:t>)</w:t>
      </w:r>
      <w:r w:rsidRPr="00283D28">
        <w:rPr>
          <w:rFonts w:ascii="Calibri" w:hAnsi="Calibri" w:cs="Calibri"/>
          <w:color w:val="000000"/>
          <w:sz w:val="24"/>
        </w:rPr>
        <w:t xml:space="preserve">, localizado no endereço: </w:t>
      </w:r>
      <w:r w:rsidRPr="00283D28">
        <w:rPr>
          <w:rFonts w:ascii="Calibri" w:hAnsi="Calibri" w:cs="Calibri"/>
          <w:color w:val="FF0000"/>
          <w:sz w:val="24"/>
        </w:rPr>
        <w:t>xxx</w:t>
      </w:r>
      <w:r w:rsidRPr="00283D28">
        <w:rPr>
          <w:rFonts w:ascii="Calibri" w:hAnsi="Calibri" w:cs="Calibri"/>
          <w:color w:val="000000"/>
          <w:sz w:val="24"/>
        </w:rPr>
        <w:t xml:space="preserve">, para que informe a este juízo se </w:t>
      </w:r>
      <w:r>
        <w:rPr>
          <w:rFonts w:ascii="Calibri" w:hAnsi="Calibri" w:cs="Calibri"/>
          <w:color w:val="000000"/>
          <w:sz w:val="24"/>
        </w:rPr>
        <w:t xml:space="preserve">o </w:t>
      </w:r>
      <w:r w:rsidRPr="00283D28">
        <w:rPr>
          <w:rFonts w:ascii="Calibri" w:hAnsi="Calibri" w:cs="Calibri"/>
          <w:color w:val="000000"/>
          <w:sz w:val="24"/>
        </w:rPr>
        <w:t xml:space="preserve">vínculo ainda se encontra ativo, o valor da remuneração, o cargo ocupado e os descontos legais efetivados no contracheque </w:t>
      </w:r>
      <w:r w:rsidRPr="00031FD7">
        <w:rPr>
          <w:rFonts w:ascii="Calibri" w:hAnsi="Calibri" w:cs="Calibri"/>
          <w:sz w:val="24"/>
          <w:highlight w:val="yellow"/>
        </w:rPr>
        <w:t>(do ou dos</w:t>
      </w:r>
      <w:r w:rsidR="00031FD7" w:rsidRPr="00031FD7">
        <w:rPr>
          <w:rFonts w:ascii="Calibri" w:hAnsi="Calibri" w:cs="Calibri"/>
          <w:sz w:val="24"/>
          <w:highlight w:val="yellow"/>
        </w:rPr>
        <w:t xml:space="preserve"> ou da ou das</w:t>
      </w:r>
      <w:r w:rsidRPr="00031FD7">
        <w:rPr>
          <w:rFonts w:ascii="Calibri" w:hAnsi="Calibri" w:cs="Calibri"/>
          <w:sz w:val="24"/>
          <w:highlight w:val="yellow"/>
        </w:rPr>
        <w:t>)</w:t>
      </w:r>
      <w:r w:rsidRPr="00031FD7">
        <w:rPr>
          <w:rFonts w:ascii="Calibri" w:hAnsi="Calibri" w:cs="Calibri"/>
          <w:sz w:val="24"/>
        </w:rPr>
        <w:t xml:space="preserve"> </w:t>
      </w:r>
      <w:r w:rsidRPr="00031FD7">
        <w:rPr>
          <w:rFonts w:ascii="Calibri" w:hAnsi="Calibri" w:cs="Calibri"/>
          <w:sz w:val="24"/>
          <w:highlight w:val="yellow"/>
        </w:rPr>
        <w:t>(executado ou executados</w:t>
      </w:r>
      <w:r w:rsidR="00031FD7" w:rsidRPr="00031FD7">
        <w:rPr>
          <w:rFonts w:ascii="Calibri" w:hAnsi="Calibri" w:cs="Calibri"/>
          <w:sz w:val="24"/>
          <w:highlight w:val="yellow"/>
        </w:rPr>
        <w:t xml:space="preserve"> ou executada ou executadas</w:t>
      </w:r>
      <w:r w:rsidRPr="00031FD7">
        <w:rPr>
          <w:rFonts w:ascii="Calibri" w:hAnsi="Calibri" w:cs="Calibri"/>
          <w:sz w:val="24"/>
          <w:highlight w:val="yellow"/>
        </w:rPr>
        <w:t>)</w:t>
      </w:r>
      <w:r>
        <w:rPr>
          <w:rFonts w:ascii="Calibri" w:hAnsi="Calibri" w:cs="Calibri"/>
          <w:color w:val="000000"/>
          <w:sz w:val="24"/>
        </w:rPr>
        <w:t>.</w:t>
      </w:r>
    </w:p>
    <w:p w:rsidR="00D947D7" w:rsidRDefault="00D947D7" w:rsidP="00D947D7">
      <w:pPr>
        <w:spacing w:line="360" w:lineRule="auto"/>
        <w:rPr>
          <w:rFonts w:ascii="Calibri" w:hAnsi="Calibri" w:cs="Calibri"/>
          <w:color w:val="000000"/>
        </w:rPr>
      </w:pPr>
    </w:p>
    <w:p w:rsidR="00F70B57" w:rsidRPr="00D947D7" w:rsidRDefault="00EC603B" w:rsidP="00D947D7">
      <w:pPr>
        <w:spacing w:line="360" w:lineRule="auto"/>
        <w:rPr>
          <w:rFonts w:ascii="Calibri" w:hAnsi="Calibri" w:cs="Calibri"/>
          <w:sz w:val="24"/>
        </w:rPr>
      </w:pPr>
      <w:r>
        <w:rPr>
          <w:rFonts w:ascii="Calibri" w:hAnsi="Calibri" w:cs="Calibri"/>
          <w:color w:val="000000"/>
          <w:sz w:val="24"/>
        </w:rPr>
        <w:t>E</w:t>
      </w:r>
      <w:r w:rsidRPr="00EC603B">
        <w:rPr>
          <w:rFonts w:ascii="Calibri" w:hAnsi="Calibri" w:cs="Calibri"/>
          <w:color w:val="000000"/>
          <w:sz w:val="24"/>
        </w:rPr>
        <w:t>m caso de retorno positivo</w:t>
      </w:r>
      <w:r w:rsidR="00F70B57" w:rsidRPr="00D947D7">
        <w:rPr>
          <w:rFonts w:ascii="Calibri" w:hAnsi="Calibri" w:cs="Calibri"/>
          <w:color w:val="000000"/>
          <w:sz w:val="24"/>
        </w:rPr>
        <w:t>, visando à satisfação do débito exequendo</w:t>
      </w:r>
      <w:r w:rsidR="009735CB" w:rsidRPr="00D947D7">
        <w:rPr>
          <w:rFonts w:ascii="Calibri" w:hAnsi="Calibri" w:cs="Calibri"/>
          <w:color w:val="000000"/>
          <w:sz w:val="24"/>
        </w:rPr>
        <w:t xml:space="preserve">, </w:t>
      </w:r>
      <w:r w:rsidR="00D947D7">
        <w:rPr>
          <w:rFonts w:ascii="Calibri" w:hAnsi="Calibri" w:cs="Calibri"/>
          <w:color w:val="000000"/>
          <w:sz w:val="24"/>
        </w:rPr>
        <w:t xml:space="preserve">requer a Exequente </w:t>
      </w:r>
      <w:proofErr w:type="gramStart"/>
      <w:r w:rsidR="00D947D7">
        <w:rPr>
          <w:rFonts w:ascii="Calibri" w:hAnsi="Calibri" w:cs="Calibri"/>
          <w:color w:val="000000"/>
          <w:sz w:val="24"/>
        </w:rPr>
        <w:t>a</w:t>
      </w:r>
      <w:proofErr w:type="gramEnd"/>
      <w:r w:rsidR="00D947D7">
        <w:rPr>
          <w:rFonts w:ascii="Calibri" w:hAnsi="Calibri" w:cs="Calibri"/>
          <w:color w:val="000000"/>
          <w:sz w:val="24"/>
        </w:rPr>
        <w:t> </w:t>
      </w:r>
      <w:r w:rsidR="00F70B57" w:rsidRPr="00D947D7">
        <w:rPr>
          <w:rFonts w:ascii="Calibri" w:hAnsi="Calibri" w:cs="Calibri"/>
          <w:color w:val="000000"/>
          <w:sz w:val="24"/>
        </w:rPr>
        <w:t>penhora</w:t>
      </w:r>
      <w:r w:rsidR="009735CB" w:rsidRPr="00D947D7">
        <w:rPr>
          <w:rFonts w:ascii="Calibri" w:hAnsi="Calibri" w:cs="Calibri"/>
          <w:color w:val="000000"/>
          <w:sz w:val="24"/>
        </w:rPr>
        <w:t xml:space="preserve"> mensal</w:t>
      </w:r>
      <w:r w:rsidR="00F70B57" w:rsidRPr="00D947D7">
        <w:rPr>
          <w:rFonts w:ascii="Calibri" w:hAnsi="Calibri" w:cs="Calibri"/>
          <w:color w:val="000000"/>
          <w:sz w:val="24"/>
        </w:rPr>
        <w:t xml:space="preserve"> de  30% (trinta por cento) dos recebíveis ou em percentual que o magistrado concorde, nos termos da  jurisprudência deste Tribunal de Justiça alinhada ao recente entendimento do  Superior Tribunal de Justiça, em que a regra geral d</w:t>
      </w:r>
      <w:r w:rsidR="009735CB" w:rsidRPr="00D947D7">
        <w:rPr>
          <w:rFonts w:ascii="Calibri" w:hAnsi="Calibri" w:cs="Calibri"/>
          <w:color w:val="000000"/>
          <w:sz w:val="24"/>
        </w:rPr>
        <w:t>a impenhorabilidade dos valores</w:t>
      </w:r>
      <w:r w:rsidR="00F70B57" w:rsidRPr="00D947D7">
        <w:rPr>
          <w:rFonts w:ascii="Calibri" w:hAnsi="Calibri" w:cs="Calibri"/>
          <w:color w:val="000000"/>
          <w:sz w:val="24"/>
        </w:rPr>
        <w:t xml:space="preserve"> salariais pode ser flexibilizada quando o montante a ser bloqueado se revele razoável  relação à remuneração recebida ou não tem natureza alimentar. Senão vejamos:  </w:t>
      </w:r>
    </w:p>
    <w:p w:rsidR="00F70B57" w:rsidRPr="00F70B57" w:rsidRDefault="00F70B57" w:rsidP="004F11E1">
      <w:pPr>
        <w:pStyle w:val="NormalWeb"/>
        <w:spacing w:before="10" w:line="276" w:lineRule="auto"/>
        <w:ind w:left="2268"/>
        <w:jc w:val="both"/>
        <w:rPr>
          <w:rFonts w:ascii="Calibri" w:hAnsi="Calibri" w:cs="Calibri"/>
          <w:bCs/>
          <w:color w:val="000000"/>
          <w:sz w:val="20"/>
          <w:szCs w:val="20"/>
        </w:rPr>
      </w:pPr>
      <w:r w:rsidRPr="00F70B57">
        <w:rPr>
          <w:rFonts w:ascii="Calibri" w:hAnsi="Calibri" w:cs="Calibri"/>
          <w:bCs/>
          <w:color w:val="000000"/>
          <w:sz w:val="20"/>
          <w:szCs w:val="20"/>
        </w:rPr>
        <w:t xml:space="preserve">AGRAVO DE INSTRUMENTO. EXECUÇÃO FISCAL. RESTITUIÇÃO TCE/RJ. DECISÃO QUE CONSIDEROU AS DIVERSAS TENTATIVAS FRUSTRADAS DE SATISFAÇÃO DO CRÉDITO E DETERMINOU A PENHORA DE 30% DOS RENDIMENTOS LÍQUIDOS DA PARTE EXECUTADA. IRRESIGNAÇÃO DA EXECUTADA. ALEGAÇÃO DE IMPENHORABILIDADE DOS RENDIMENTOS E DE COMPROMETIMENTO DO SUSTENTO FAMILIAR. PEQUENA REFORMA DO DECISUM QUE SE IMPÕE. DE </w:t>
      </w:r>
      <w:r w:rsidRPr="00F70B57">
        <w:rPr>
          <w:rFonts w:ascii="Calibri" w:hAnsi="Calibri" w:cs="Calibri"/>
          <w:bCs/>
          <w:color w:val="000000"/>
          <w:sz w:val="20"/>
          <w:szCs w:val="20"/>
        </w:rPr>
        <w:lastRenderedPageBreak/>
        <w:t xml:space="preserve">FATO, A IMPENHORABILIDADE DE QUANTIA REFERENTE </w:t>
      </w:r>
      <w:proofErr w:type="gramStart"/>
      <w:r w:rsidRPr="00F70B57">
        <w:rPr>
          <w:rFonts w:ascii="Calibri" w:hAnsi="Calibri" w:cs="Calibri"/>
          <w:bCs/>
          <w:color w:val="000000"/>
          <w:sz w:val="20"/>
          <w:szCs w:val="20"/>
        </w:rPr>
        <w:t>A</w:t>
      </w:r>
      <w:proofErr w:type="gramEnd"/>
      <w:r w:rsidRPr="00F70B57">
        <w:rPr>
          <w:rFonts w:ascii="Calibri" w:hAnsi="Calibri" w:cs="Calibri"/>
          <w:bCs/>
          <w:color w:val="000000"/>
          <w:sz w:val="20"/>
          <w:szCs w:val="20"/>
        </w:rPr>
        <w:t xml:space="preserve"> SALÁRIO, PREVISTA NO INCISO IV DO ARTIGO 833 DO CPC, NA ESTEIRA DO ATUAL ENTENDIMENTO JURISPRUDENCIAL, RESTOU MITIGADA, NO SENTIDO DE QUE A PENHORA DE ATÉ 30% DOS VENCIMENTOS LÍQUIDOS DO DEVEDOR NÃO IMPLICA ONEROSIDADE EXCESSIVA, SENDO QUE TAL MITIGAÇÃO VEM EM PROL DA EFETIVIDADE DO PROCESSO DE EXECUÇÃO E NÃO CONSTITUI AFRONTA AO PRINCÍPIO DE QUE A EXECUÇÃO DEVE SE PROCESSAR DA FORMA MENOS ONEROSA AO DEVEDOR. CONTUDO, O VALOR BLOQUEADO NÃO PODE VIOLAR OS PRINCÍPIOS DA DIGNIDADE DA PESSOA HUMANA E DO MÍNIMO EXISTENCIAL. PRECEDENTES JURISPRUDENCIAIS. NO CASO CONCRETO, A PENHORA DE 30% (TRINTA POR CENTO) DO SALÁRIO LÍQUIDO DO AGRAVANTE VIOLA OS PRINCÍPIOS DA DIGNIDADE DA PESSOA HUMANA E DO MÍNIMO EXISTENCIAL, ALÉM DO PRINCÍPIO DA RAZOABILIDADE, RAZÃO PELA QUAL DEVE SER REDUZIDO O PERCENTUAL DA PENHORA PARA O PATAMAR DE 15% (QUINZE POR CENTO) DOS VENCIMENTOS LÍQUIDOS DO EXECUTADO. RECURSO CONHECIDO E PARCIALMENTE PROVIDO.</w:t>
      </w:r>
      <w:r>
        <w:rPr>
          <w:rFonts w:ascii="Calibri" w:hAnsi="Calibri" w:cs="Calibri"/>
          <w:bCs/>
          <w:color w:val="000000"/>
          <w:sz w:val="20"/>
          <w:szCs w:val="20"/>
        </w:rPr>
        <w:t xml:space="preserve"> </w:t>
      </w:r>
      <w:r w:rsidRPr="00F70B57">
        <w:rPr>
          <w:rFonts w:ascii="Calibri" w:hAnsi="Calibri" w:cs="Calibri"/>
          <w:bCs/>
          <w:color w:val="000000"/>
          <w:sz w:val="20"/>
          <w:szCs w:val="20"/>
        </w:rPr>
        <w:t xml:space="preserve">(0082611-05.2023.8.19.0000 - AGRAVO DE INSTRUMENTO. </w:t>
      </w:r>
      <w:proofErr w:type="spellStart"/>
      <w:proofErr w:type="gramStart"/>
      <w:r w:rsidRPr="00F70B57">
        <w:rPr>
          <w:rFonts w:ascii="Calibri" w:hAnsi="Calibri" w:cs="Calibri"/>
          <w:bCs/>
          <w:color w:val="000000"/>
          <w:sz w:val="20"/>
          <w:szCs w:val="20"/>
        </w:rPr>
        <w:t>Des</w:t>
      </w:r>
      <w:proofErr w:type="spellEnd"/>
      <w:r w:rsidRPr="00F70B57">
        <w:rPr>
          <w:rFonts w:ascii="Calibri" w:hAnsi="Calibri" w:cs="Calibri"/>
          <w:bCs/>
          <w:color w:val="000000"/>
          <w:sz w:val="20"/>
          <w:szCs w:val="20"/>
        </w:rPr>
        <w:t>(</w:t>
      </w:r>
      <w:proofErr w:type="gramEnd"/>
      <w:r w:rsidRPr="00F70B57">
        <w:rPr>
          <w:rFonts w:ascii="Calibri" w:hAnsi="Calibri" w:cs="Calibri"/>
          <w:bCs/>
          <w:color w:val="000000"/>
          <w:sz w:val="20"/>
          <w:szCs w:val="20"/>
        </w:rPr>
        <w:t>a). LIDIA MARIA SODRE DE MORAES - Julgamento: 27/02/2024 - SEXTA CAMARA DE DIREITO PUBLICO (ANTIGA 21ª CÂMARA)</w:t>
      </w:r>
      <w:r>
        <w:rPr>
          <w:rFonts w:ascii="Calibri" w:hAnsi="Calibri" w:cs="Calibri"/>
          <w:color w:val="000000"/>
          <w:sz w:val="20"/>
          <w:szCs w:val="20"/>
        </w:rPr>
        <w:t> </w:t>
      </w:r>
    </w:p>
    <w:p w:rsidR="00F70B57" w:rsidRPr="00F70B57" w:rsidRDefault="00F70B57" w:rsidP="004F11E1">
      <w:pPr>
        <w:pStyle w:val="NormalWeb"/>
        <w:spacing w:before="10" w:line="276" w:lineRule="auto"/>
        <w:jc w:val="both"/>
        <w:rPr>
          <w:rFonts w:ascii="Calibri" w:hAnsi="Calibri" w:cs="Calibri"/>
          <w:bCs/>
          <w:color w:val="000000"/>
          <w:sz w:val="20"/>
          <w:szCs w:val="20"/>
        </w:rPr>
      </w:pPr>
    </w:p>
    <w:p w:rsidR="00D947D7" w:rsidRDefault="00F70B57" w:rsidP="00D947D7">
      <w:pPr>
        <w:pStyle w:val="NormalWeb"/>
        <w:spacing w:before="257" w:beforeAutospacing="0" w:after="0" w:afterAutospacing="0" w:line="276" w:lineRule="auto"/>
        <w:ind w:left="2268" w:right="-5"/>
        <w:jc w:val="both"/>
      </w:pPr>
      <w:r>
        <w:rPr>
          <w:rFonts w:ascii="Calibri" w:hAnsi="Calibri" w:cs="Calibri"/>
          <w:color w:val="000000"/>
          <w:sz w:val="20"/>
          <w:szCs w:val="20"/>
        </w:rPr>
        <w:t xml:space="preserve">PROCESSUAL CIVIL. EMBARGOS DE DIVERGÊNCIA EM RECURSO ESPECIAL. EXECUÇÃO DE TÍTULO EXTRAJUDICIAL. PENHORA. PERCENTUAL DE VERBA SALARIAL. IMPENHORABILIDADE (ART. 833, IV e § 2º, CPC/2015). RELATIVIZAÇÃO. POSSIBILIDADE. CARÁTER EXCEPCIONAL. 1. O CPC de 2015 trata a impenhorabilidade como relativa, podendo ser mitigada à luz de um julgamento </w:t>
      </w:r>
      <w:proofErr w:type="gramStart"/>
      <w:r>
        <w:rPr>
          <w:rFonts w:ascii="Calibri" w:hAnsi="Calibri" w:cs="Calibri"/>
          <w:color w:val="000000"/>
          <w:sz w:val="20"/>
          <w:szCs w:val="20"/>
        </w:rPr>
        <w:t>principio</w:t>
      </w:r>
      <w:proofErr w:type="gramEnd"/>
      <w:r>
        <w:rPr>
          <w:rFonts w:ascii="Calibri" w:hAnsi="Calibri" w:cs="Calibri"/>
          <w:color w:val="000000"/>
          <w:sz w:val="20"/>
          <w:szCs w:val="20"/>
        </w:rPr>
        <w:t xml:space="preserve"> lógico, mediante a ponderação dos princípios da menor onerosidade para o devedor e da efetividade da execução para o credor, ambos informados pela dignidade da pessoa humana. </w:t>
      </w:r>
      <w:r>
        <w:rPr>
          <w:rFonts w:ascii="Calibri" w:hAnsi="Calibri" w:cs="Calibri"/>
          <w:b/>
          <w:bCs/>
          <w:color w:val="000000"/>
          <w:sz w:val="20"/>
          <w:szCs w:val="20"/>
        </w:rPr>
        <w:t xml:space="preserve">2. Admite-se a relativização da regra da impenhorabilidade das verbas de natureza salarial, independentemente da natureza da dívida a ser paga e do valor recebido pelo devedor, condicionada, apenas, a que a medida constritiva não comprometa a subsistência digna do devedor e de sua família. </w:t>
      </w:r>
      <w:r>
        <w:rPr>
          <w:rFonts w:ascii="Calibri" w:hAnsi="Calibri" w:cs="Calibri"/>
          <w:color w:val="000000"/>
          <w:sz w:val="20"/>
          <w:szCs w:val="20"/>
        </w:rPr>
        <w:t>3. Essa relativização reveste-se de caráter excepcional e só deve ser feita quando restarem inviabilizados outros meios executórios que possam garantir a efetividade da execução e desde que avaliado concretamente o impacto da constrição na subsistência digna do devedor e de seus familiares. 4. Ao permitir, como regra geral, a mitigação da impenhorabilidade quando o devedor receber valores que excedam a 50 salários mínimos, o § 2º do art. 833 do CPC não proíbe que haja ponderação da regra nas hipóteses de não excederem (</w:t>
      </w:r>
      <w:proofErr w:type="spellStart"/>
      <w:proofErr w:type="gramStart"/>
      <w:r>
        <w:rPr>
          <w:rFonts w:ascii="Calibri" w:hAnsi="Calibri" w:cs="Calibri"/>
          <w:color w:val="000000"/>
          <w:sz w:val="20"/>
          <w:szCs w:val="20"/>
        </w:rPr>
        <w:t>EDcl</w:t>
      </w:r>
      <w:proofErr w:type="spellEnd"/>
      <w:proofErr w:type="gramEnd"/>
      <w:r>
        <w:rPr>
          <w:rFonts w:ascii="Calibri" w:hAnsi="Calibri" w:cs="Calibri"/>
          <w:color w:val="000000"/>
          <w:sz w:val="20"/>
          <w:szCs w:val="20"/>
        </w:rPr>
        <w:t xml:space="preserve"> nos </w:t>
      </w:r>
      <w:proofErr w:type="spellStart"/>
      <w:r>
        <w:rPr>
          <w:rFonts w:ascii="Calibri" w:hAnsi="Calibri" w:cs="Calibri"/>
          <w:color w:val="000000"/>
          <w:sz w:val="20"/>
          <w:szCs w:val="20"/>
        </w:rPr>
        <w:t>EREsp</w:t>
      </w:r>
      <w:proofErr w:type="spellEnd"/>
      <w:r>
        <w:rPr>
          <w:rFonts w:ascii="Calibri" w:hAnsi="Calibri" w:cs="Calibri"/>
          <w:color w:val="000000"/>
          <w:sz w:val="20"/>
          <w:szCs w:val="20"/>
        </w:rPr>
        <w:t xml:space="preserve"> n. 1.518.169/DF, relatora Ministra Nancy </w:t>
      </w:r>
      <w:proofErr w:type="spellStart"/>
      <w:r>
        <w:rPr>
          <w:rFonts w:ascii="Calibri" w:hAnsi="Calibri" w:cs="Calibri"/>
          <w:color w:val="000000"/>
          <w:sz w:val="20"/>
          <w:szCs w:val="20"/>
        </w:rPr>
        <w:t>Andrighi</w:t>
      </w:r>
      <w:proofErr w:type="spellEnd"/>
      <w:r>
        <w:rPr>
          <w:rFonts w:ascii="Calibri" w:hAnsi="Calibri" w:cs="Calibri"/>
          <w:color w:val="000000"/>
          <w:sz w:val="20"/>
          <w:szCs w:val="20"/>
        </w:rPr>
        <w:t xml:space="preserve">, Corte Especial, </w:t>
      </w:r>
      <w:proofErr w:type="spellStart"/>
      <w:r>
        <w:rPr>
          <w:rFonts w:ascii="Calibri" w:hAnsi="Calibri" w:cs="Calibri"/>
          <w:color w:val="000000"/>
          <w:sz w:val="20"/>
          <w:szCs w:val="20"/>
        </w:rPr>
        <w:t>DJe</w:t>
      </w:r>
      <w:proofErr w:type="spellEnd"/>
      <w:r>
        <w:rPr>
          <w:rFonts w:ascii="Calibri" w:hAnsi="Calibri" w:cs="Calibri"/>
          <w:color w:val="000000"/>
          <w:sz w:val="20"/>
          <w:szCs w:val="20"/>
        </w:rPr>
        <w:t xml:space="preserve"> de 24.5.2019). 5. Embargos de divergência conhecidos e </w:t>
      </w:r>
      <w:proofErr w:type="gramStart"/>
      <w:r>
        <w:rPr>
          <w:rFonts w:ascii="Calibri" w:hAnsi="Calibri" w:cs="Calibri"/>
          <w:color w:val="000000"/>
          <w:sz w:val="20"/>
          <w:szCs w:val="20"/>
        </w:rPr>
        <w:t>providos.</w:t>
      </w:r>
      <w:proofErr w:type="gramEnd"/>
      <w:r>
        <w:rPr>
          <w:rFonts w:ascii="Calibri" w:hAnsi="Calibri" w:cs="Calibri"/>
          <w:color w:val="000000"/>
          <w:sz w:val="20"/>
          <w:szCs w:val="20"/>
        </w:rPr>
        <w:t xml:space="preserve">(SUPERIOR TRIBUNAL DE JUSTIÇA. </w:t>
      </w:r>
      <w:proofErr w:type="spellStart"/>
      <w:r>
        <w:rPr>
          <w:rFonts w:ascii="Calibri" w:hAnsi="Calibri" w:cs="Calibri"/>
          <w:color w:val="000000"/>
          <w:sz w:val="20"/>
          <w:szCs w:val="20"/>
        </w:rPr>
        <w:t>EREsp</w:t>
      </w:r>
      <w:proofErr w:type="spellEnd"/>
      <w:r>
        <w:rPr>
          <w:rFonts w:ascii="Calibri" w:hAnsi="Calibri" w:cs="Calibri"/>
          <w:color w:val="000000"/>
          <w:sz w:val="20"/>
          <w:szCs w:val="20"/>
        </w:rPr>
        <w:t xml:space="preserve"> n. 1.874.222/DF, Relator Ministro João Otávio de Noronha, Corte Especial, julgado em 19/4/2023, </w:t>
      </w:r>
      <w:proofErr w:type="spellStart"/>
      <w:r>
        <w:rPr>
          <w:rFonts w:ascii="Calibri" w:hAnsi="Calibri" w:cs="Calibri"/>
          <w:color w:val="000000"/>
          <w:sz w:val="20"/>
          <w:szCs w:val="20"/>
        </w:rPr>
        <w:t>DJe</w:t>
      </w:r>
      <w:proofErr w:type="spellEnd"/>
      <w:r>
        <w:rPr>
          <w:rFonts w:ascii="Calibri" w:hAnsi="Calibri" w:cs="Calibri"/>
          <w:color w:val="000000"/>
          <w:sz w:val="20"/>
          <w:szCs w:val="20"/>
        </w:rPr>
        <w:t xml:space="preserve"> de 24/5/2023). Grifo nosso. </w:t>
      </w:r>
    </w:p>
    <w:p w:rsidR="00F70B57" w:rsidRDefault="00F70B57" w:rsidP="00D947D7">
      <w:pPr>
        <w:pStyle w:val="NormalWeb"/>
        <w:spacing w:before="257" w:beforeAutospacing="0" w:after="0" w:afterAutospacing="0" w:line="276" w:lineRule="auto"/>
        <w:ind w:right="-5"/>
        <w:jc w:val="both"/>
      </w:pPr>
      <w:r>
        <w:rPr>
          <w:rFonts w:ascii="Calibri" w:hAnsi="Calibri" w:cs="Calibri"/>
          <w:color w:val="000000"/>
        </w:rPr>
        <w:t xml:space="preserve">Frise-se, Excelência, que a penhora do montante de 30% (trinta por cento) da verba  visa coadunar o interesse da Exequente com a mínima  onerosidade, como bem pondera a </w:t>
      </w:r>
      <w:r>
        <w:rPr>
          <w:rFonts w:ascii="Calibri" w:hAnsi="Calibri" w:cs="Calibri"/>
          <w:color w:val="000000"/>
        </w:rPr>
        <w:lastRenderedPageBreak/>
        <w:t>jurisprudência do Superior Tribunal de Justiça, em  que “</w:t>
      </w:r>
      <w:r w:rsidRPr="00961B36">
        <w:rPr>
          <w:rFonts w:ascii="Calibri" w:hAnsi="Calibri" w:cs="Calibri"/>
          <w:i/>
          <w:color w:val="000000"/>
        </w:rPr>
        <w:t>a regra geral de impenhorabilidade de vencimentos pode ser excepcionada a  fim de garantir a efetividade da tutela jurisdicional, desde que observado percentual  capaz de assegurar a dignidade do devedor e de sua família</w:t>
      </w:r>
      <w:r>
        <w:rPr>
          <w:rFonts w:ascii="Calibri" w:hAnsi="Calibri" w:cs="Calibri"/>
          <w:color w:val="000000"/>
        </w:rPr>
        <w:t>”. </w:t>
      </w:r>
    </w:p>
    <w:p w:rsidR="00F70B57" w:rsidRDefault="00F70B57" w:rsidP="004F11E1">
      <w:pPr>
        <w:pStyle w:val="NormalWeb"/>
        <w:spacing w:before="475" w:beforeAutospacing="0" w:after="0" w:afterAutospacing="0" w:line="276" w:lineRule="auto"/>
        <w:ind w:left="2268" w:right="38"/>
        <w:jc w:val="both"/>
      </w:pPr>
      <w:r>
        <w:rPr>
          <w:rFonts w:ascii="Calibri" w:hAnsi="Calibri" w:cs="Calibri"/>
          <w:b/>
          <w:bCs/>
          <w:color w:val="000000"/>
          <w:sz w:val="20"/>
          <w:szCs w:val="20"/>
        </w:rPr>
        <w:t xml:space="preserve">AGRAVO INTERNO NO AGRAVO EM RECURSO ESPECIAL. PROCESSUAL CIVIL E CIVIL. CUMPRIMENTO DE SENTENÇA. AÇÃO DE DESPEJO COM COBRANÇA DE ALUGUÉIS RESIDENCIAIS. PENHORA SOBRE PERCENTUAL DA REMUNERAÇÃO DO DEVEDOR. POSSIBILIDADE (CPC, ART. 833, § 2º). AGRAVO INTERNO PARCIALMENTE PROVIDO COM PARCIAL PROVIMENTO DO RECURSO ESPECIAL. 1. O Novo Código de Processo Civil, em seu art. 833, deu à matéria da impenhorabilidade tratamento um tanto diferente em relação ao Código anterior, no art. 649. O que antes era tido como "absolutamente impenhorável", no novo regramento passa a ser "impenhorável", permitindo, assim, essa nova disciplina, maior espaço para o aplicador </w:t>
      </w:r>
      <w:proofErr w:type="gramStart"/>
      <w:r>
        <w:rPr>
          <w:rFonts w:ascii="Calibri" w:hAnsi="Calibri" w:cs="Calibri"/>
          <w:b/>
          <w:bCs/>
          <w:color w:val="000000"/>
          <w:sz w:val="20"/>
          <w:szCs w:val="20"/>
        </w:rPr>
        <w:t>da norma promover</w:t>
      </w:r>
      <w:proofErr w:type="gramEnd"/>
      <w:r>
        <w:rPr>
          <w:rFonts w:ascii="Calibri" w:hAnsi="Calibri" w:cs="Calibri"/>
          <w:b/>
          <w:bCs/>
          <w:color w:val="000000"/>
          <w:sz w:val="20"/>
          <w:szCs w:val="20"/>
        </w:rPr>
        <w:t xml:space="preserve"> mitigações em relação aos casos que examina, respeitada sempre a essência da norma </w:t>
      </w:r>
      <w:proofErr w:type="spellStart"/>
      <w:r>
        <w:rPr>
          <w:rFonts w:ascii="Calibri" w:hAnsi="Calibri" w:cs="Calibri"/>
          <w:b/>
          <w:bCs/>
          <w:color w:val="000000"/>
          <w:sz w:val="20"/>
          <w:szCs w:val="20"/>
        </w:rPr>
        <w:t>protetiva</w:t>
      </w:r>
      <w:proofErr w:type="spellEnd"/>
      <w:r>
        <w:rPr>
          <w:rFonts w:ascii="Calibri" w:hAnsi="Calibri" w:cs="Calibri"/>
          <w:b/>
          <w:bCs/>
          <w:color w:val="000000"/>
          <w:sz w:val="20"/>
          <w:szCs w:val="20"/>
        </w:rPr>
        <w:t xml:space="preserve">. </w:t>
      </w:r>
      <w:r>
        <w:rPr>
          <w:rFonts w:ascii="Calibri" w:hAnsi="Calibri" w:cs="Calibri"/>
          <w:color w:val="000000"/>
          <w:sz w:val="20"/>
          <w:szCs w:val="20"/>
        </w:rPr>
        <w:t xml:space="preserve">Precedente: </w:t>
      </w:r>
      <w:proofErr w:type="spellStart"/>
      <w:proofErr w:type="gramStart"/>
      <w:r>
        <w:rPr>
          <w:rFonts w:ascii="Calibri" w:hAnsi="Calibri" w:cs="Calibri"/>
          <w:color w:val="000000"/>
          <w:sz w:val="20"/>
          <w:szCs w:val="20"/>
        </w:rPr>
        <w:t>EREsp</w:t>
      </w:r>
      <w:proofErr w:type="spellEnd"/>
      <w:proofErr w:type="gramEnd"/>
      <w:r>
        <w:rPr>
          <w:rFonts w:ascii="Calibri" w:hAnsi="Calibri" w:cs="Calibri"/>
          <w:color w:val="000000"/>
          <w:sz w:val="20"/>
          <w:szCs w:val="20"/>
        </w:rPr>
        <w:t xml:space="preserve"> 1.582.475 MG, Rel. Ministro BENEDITO GONÇALVES, CORTE ESPECIAL, julgado em 03/10/2018, </w:t>
      </w:r>
      <w:proofErr w:type="spellStart"/>
      <w:r>
        <w:rPr>
          <w:rFonts w:ascii="Calibri" w:hAnsi="Calibri" w:cs="Calibri"/>
          <w:color w:val="000000"/>
          <w:sz w:val="20"/>
          <w:szCs w:val="20"/>
        </w:rPr>
        <w:t>REPDJe</w:t>
      </w:r>
      <w:proofErr w:type="spellEnd"/>
      <w:r>
        <w:rPr>
          <w:rFonts w:ascii="Calibri" w:hAnsi="Calibri" w:cs="Calibri"/>
          <w:color w:val="000000"/>
          <w:sz w:val="20"/>
          <w:szCs w:val="20"/>
        </w:rPr>
        <w:t xml:space="preserve"> 19/03/2019, </w:t>
      </w:r>
      <w:proofErr w:type="spellStart"/>
      <w:r>
        <w:rPr>
          <w:rFonts w:ascii="Calibri" w:hAnsi="Calibri" w:cs="Calibri"/>
          <w:color w:val="000000"/>
          <w:sz w:val="20"/>
          <w:szCs w:val="20"/>
        </w:rPr>
        <w:t>DJe</w:t>
      </w:r>
      <w:proofErr w:type="spellEnd"/>
      <w:r>
        <w:rPr>
          <w:rFonts w:ascii="Calibri" w:hAnsi="Calibri" w:cs="Calibri"/>
          <w:color w:val="000000"/>
          <w:sz w:val="20"/>
          <w:szCs w:val="20"/>
        </w:rPr>
        <w:t xml:space="preserve"> de 16/10/2018.  2. Descabe manter imune à penhora para satisfação de créditos provenientes de despesa de aluguel com moradia, sob o pálio da regra da impenhorabilidade da remuneração (CPC, art. 833, IV, e § 2º), a pessoa física devedora que reside ou residiu em imóvel locado, pois a satisfação de créditos de tal natureza compõe o orçamento familiar normal de qualquer cidadão e não é justo sejam suportadas tais despesas pelo credor dos aluguéis. 3. Note-se que a preservação da impenhorabilidade na situação acima traria grave abalo para as relações sociais, quanto às locações residenciais, pois os locadores não mais dariam crédito aos comuns locatários, pessoas que vivem de seus sempre limitados salários. 4. Agravo interno parcialmente provido para modificar a decisão agravada e, em novo exame do recurso, conhecer do agravo e dar parcial provimento ao recurso especial. (SUPERIOR TRIBUNAL DE JUSTIÇA. </w:t>
      </w:r>
      <w:proofErr w:type="spellStart"/>
      <w:proofErr w:type="gramStart"/>
      <w:r>
        <w:rPr>
          <w:rFonts w:ascii="Calibri" w:hAnsi="Calibri" w:cs="Calibri"/>
          <w:color w:val="000000"/>
          <w:sz w:val="20"/>
          <w:szCs w:val="20"/>
        </w:rPr>
        <w:t>AgInt</w:t>
      </w:r>
      <w:proofErr w:type="spellEnd"/>
      <w:proofErr w:type="gramEnd"/>
      <w:r>
        <w:rPr>
          <w:rFonts w:ascii="Calibri" w:hAnsi="Calibri" w:cs="Calibri"/>
          <w:color w:val="000000"/>
          <w:sz w:val="20"/>
          <w:szCs w:val="20"/>
        </w:rPr>
        <w:t xml:space="preserve"> no Agravo em Recurso Especial nº 1.336.881 - DF (2018⁄0190204-0) – DF. Relator Min. Raul Araújo; Julgado  em 11/04/2019; Publicado em 11/04/2019). </w:t>
      </w:r>
    </w:p>
    <w:p w:rsidR="00F70B57" w:rsidRDefault="00F70B57" w:rsidP="00EC603B">
      <w:pPr>
        <w:pStyle w:val="NormalWeb"/>
        <w:spacing w:before="449" w:beforeAutospacing="0" w:after="0" w:afterAutospacing="0" w:line="276" w:lineRule="auto"/>
        <w:ind w:left="9" w:right="-9" w:hanging="9"/>
      </w:pPr>
      <w:r>
        <w:rPr>
          <w:rFonts w:ascii="Calibri" w:hAnsi="Calibri" w:cs="Calibri"/>
          <w:color w:val="000000"/>
        </w:rPr>
        <w:t>Ademais, o Superior Tribunal de Justiça também delimitando acerca da possibilidade  de penhora percentual expôs: </w:t>
      </w:r>
    </w:p>
    <w:p w:rsidR="00F70B57" w:rsidRDefault="00F70B57" w:rsidP="004F11E1">
      <w:pPr>
        <w:pStyle w:val="NormalWeb"/>
        <w:spacing w:before="475" w:beforeAutospacing="0" w:after="0" w:afterAutospacing="0" w:line="276" w:lineRule="auto"/>
        <w:ind w:left="2268" w:right="-6"/>
        <w:jc w:val="both"/>
      </w:pPr>
      <w:r>
        <w:rPr>
          <w:rFonts w:ascii="Calibri" w:hAnsi="Calibri" w:cs="Calibri"/>
          <w:color w:val="000000"/>
          <w:sz w:val="20"/>
          <w:szCs w:val="20"/>
        </w:rPr>
        <w:t xml:space="preserve">“O executado, apesar de citado, não pagou o débito; muito menos logrou êxito em apresentar outros bens passíveis de penhora o que possibilitou a adoção da medida extrema, em percentual módico, que não afeta o livre  desempenho das atividades econômicas.” (SUPERIOR TRIBUNAL DE JUSTIÇA. </w:t>
      </w:r>
      <w:proofErr w:type="spellStart"/>
      <w:proofErr w:type="gramStart"/>
      <w:r>
        <w:rPr>
          <w:rFonts w:ascii="Calibri" w:hAnsi="Calibri" w:cs="Calibri"/>
          <w:color w:val="000000"/>
          <w:sz w:val="20"/>
          <w:szCs w:val="20"/>
        </w:rPr>
        <w:t>REsp</w:t>
      </w:r>
      <w:proofErr w:type="spellEnd"/>
      <w:proofErr w:type="gramEnd"/>
      <w:r w:rsidR="00961B36">
        <w:rPr>
          <w:rFonts w:ascii="Calibri" w:hAnsi="Calibri" w:cs="Calibri"/>
          <w:color w:val="000000"/>
          <w:sz w:val="20"/>
          <w:szCs w:val="20"/>
        </w:rPr>
        <w:t xml:space="preserve"> 783.227/SP, Rel. Min. Humberto</w:t>
      </w:r>
      <w:r>
        <w:rPr>
          <w:rFonts w:ascii="Calibri" w:hAnsi="Calibri" w:cs="Calibri"/>
          <w:color w:val="000000"/>
          <w:sz w:val="20"/>
          <w:szCs w:val="20"/>
        </w:rPr>
        <w:t> Martins, 2ª Turma; Julgado em. 24/04/2007; Publicado em 27/11/2008). </w:t>
      </w:r>
    </w:p>
    <w:p w:rsidR="00F70B57" w:rsidRDefault="00F70B57" w:rsidP="00EC603B">
      <w:pPr>
        <w:pStyle w:val="NormalWeb"/>
        <w:spacing w:before="447" w:beforeAutospacing="0" w:after="0" w:afterAutospacing="0" w:line="276" w:lineRule="auto"/>
        <w:ind w:left="9" w:right="-19" w:hanging="9"/>
        <w:jc w:val="both"/>
      </w:pPr>
      <w:r>
        <w:rPr>
          <w:rFonts w:ascii="Calibri" w:hAnsi="Calibri" w:cs="Calibri"/>
          <w:color w:val="000000"/>
        </w:rPr>
        <w:lastRenderedPageBreak/>
        <w:t xml:space="preserve">Assim, visando </w:t>
      </w:r>
      <w:proofErr w:type="gramStart"/>
      <w:r>
        <w:rPr>
          <w:rFonts w:ascii="Calibri" w:hAnsi="Calibri" w:cs="Calibri"/>
          <w:color w:val="000000"/>
        </w:rPr>
        <w:t>a</w:t>
      </w:r>
      <w:proofErr w:type="gramEnd"/>
      <w:r>
        <w:rPr>
          <w:rFonts w:ascii="Calibri" w:hAnsi="Calibri" w:cs="Calibri"/>
          <w:color w:val="000000"/>
        </w:rPr>
        <w:t xml:space="preserve"> chancela do judiciário para obter o crédito exequendo, reque</w:t>
      </w:r>
      <w:r w:rsidR="00CF2674">
        <w:rPr>
          <w:rFonts w:ascii="Calibri" w:hAnsi="Calibri" w:cs="Calibri"/>
          <w:color w:val="000000"/>
        </w:rPr>
        <w:t xml:space="preserve">r que  seja deferido o pedido para </w:t>
      </w:r>
      <w:r>
        <w:rPr>
          <w:rFonts w:ascii="Calibri" w:hAnsi="Calibri" w:cs="Calibri"/>
          <w:color w:val="000000"/>
        </w:rPr>
        <w:t>penhora em fr</w:t>
      </w:r>
      <w:r w:rsidR="00D947D7">
        <w:rPr>
          <w:rFonts w:ascii="Calibri" w:hAnsi="Calibri" w:cs="Calibri"/>
          <w:color w:val="000000"/>
        </w:rPr>
        <w:t>ação de 30% (trinta por cento),</w:t>
      </w:r>
      <w:r>
        <w:rPr>
          <w:rFonts w:ascii="Calibri" w:hAnsi="Calibri" w:cs="Calibri"/>
          <w:color w:val="000000"/>
        </w:rPr>
        <w:t xml:space="preserve"> até o total da satisfação do débito exequendo. </w:t>
      </w:r>
    </w:p>
    <w:p w:rsidR="00F70B57" w:rsidRDefault="00F70B57" w:rsidP="00EC603B">
      <w:pPr>
        <w:pStyle w:val="NormalWeb"/>
        <w:spacing w:before="447" w:beforeAutospacing="0" w:after="0" w:afterAutospacing="0" w:line="276" w:lineRule="auto"/>
        <w:ind w:left="9" w:right="-19" w:hanging="9"/>
        <w:jc w:val="both"/>
      </w:pPr>
      <w:r>
        <w:rPr>
          <w:rFonts w:ascii="Calibri" w:hAnsi="Calibri" w:cs="Calibri"/>
          <w:color w:val="000000"/>
        </w:rPr>
        <w:t>Alternativamente, caso o douto magistrado assim entenda, requer seja deferida a penhora de percentual diferente do requerido anteriormente.</w:t>
      </w:r>
    </w:p>
    <w:p w:rsidR="00F70B57" w:rsidRDefault="00F70B57" w:rsidP="00EC603B">
      <w:pPr>
        <w:pStyle w:val="NormalWeb"/>
        <w:spacing w:before="472" w:beforeAutospacing="0" w:after="0" w:afterAutospacing="0" w:line="276" w:lineRule="auto"/>
        <w:ind w:left="16" w:right="-10" w:hanging="16"/>
        <w:jc w:val="both"/>
      </w:pPr>
      <w:r>
        <w:rPr>
          <w:rFonts w:ascii="Calibri" w:hAnsi="Calibri" w:cs="Calibri"/>
          <w:color w:val="000000"/>
        </w:rPr>
        <w:t xml:space="preserve">Essa medida visa </w:t>
      </w:r>
      <w:proofErr w:type="gramStart"/>
      <w:r>
        <w:rPr>
          <w:rFonts w:ascii="Calibri" w:hAnsi="Calibri" w:cs="Calibri"/>
          <w:color w:val="000000"/>
        </w:rPr>
        <w:t>a</w:t>
      </w:r>
      <w:proofErr w:type="gramEnd"/>
      <w:r>
        <w:rPr>
          <w:rFonts w:ascii="Calibri" w:hAnsi="Calibri" w:cs="Calibri"/>
          <w:color w:val="000000"/>
        </w:rPr>
        <w:t xml:space="preserve"> continuidade dos atos de constrição, evitando a desmedida desídia </w:t>
      </w:r>
      <w:r w:rsidR="00D947D7" w:rsidRPr="00031FD7">
        <w:rPr>
          <w:rFonts w:ascii="Calibri" w:hAnsi="Calibri" w:cs="Calibri"/>
          <w:highlight w:val="yellow"/>
        </w:rPr>
        <w:t>(</w:t>
      </w:r>
      <w:r w:rsidRPr="00031FD7">
        <w:rPr>
          <w:rFonts w:ascii="Calibri" w:hAnsi="Calibri" w:cs="Calibri"/>
          <w:highlight w:val="yellow"/>
        </w:rPr>
        <w:t>do</w:t>
      </w:r>
      <w:r w:rsidR="00D947D7" w:rsidRPr="00031FD7">
        <w:rPr>
          <w:rFonts w:ascii="Calibri" w:hAnsi="Calibri" w:cs="Calibri"/>
          <w:highlight w:val="yellow"/>
        </w:rPr>
        <w:t xml:space="preserve"> ou dos</w:t>
      </w:r>
      <w:r w:rsidR="00031FD7" w:rsidRPr="00031FD7">
        <w:rPr>
          <w:rFonts w:ascii="Calibri" w:hAnsi="Calibri" w:cs="Calibri"/>
          <w:highlight w:val="yellow"/>
        </w:rPr>
        <w:t xml:space="preserve"> ou da ou das</w:t>
      </w:r>
      <w:r w:rsidR="00D947D7" w:rsidRPr="00031FD7">
        <w:rPr>
          <w:rFonts w:ascii="Calibri" w:hAnsi="Calibri" w:cs="Calibri"/>
          <w:highlight w:val="yellow"/>
        </w:rPr>
        <w:t>)</w:t>
      </w:r>
      <w:r w:rsidRPr="00031FD7">
        <w:rPr>
          <w:rFonts w:ascii="Calibri" w:hAnsi="Calibri" w:cs="Calibri"/>
        </w:rPr>
        <w:t xml:space="preserve"> </w:t>
      </w:r>
      <w:r w:rsidR="00D947D7" w:rsidRPr="00031FD7">
        <w:rPr>
          <w:rFonts w:ascii="Calibri" w:hAnsi="Calibri" w:cs="Calibri"/>
          <w:highlight w:val="yellow"/>
        </w:rPr>
        <w:t>(</w:t>
      </w:r>
      <w:r w:rsidRPr="00031FD7">
        <w:rPr>
          <w:rFonts w:ascii="Calibri" w:hAnsi="Calibri" w:cs="Calibri"/>
          <w:highlight w:val="yellow"/>
        </w:rPr>
        <w:t>Executado</w:t>
      </w:r>
      <w:r w:rsidR="00D947D7" w:rsidRPr="00031FD7">
        <w:rPr>
          <w:rFonts w:ascii="Calibri" w:hAnsi="Calibri" w:cs="Calibri"/>
          <w:highlight w:val="yellow"/>
        </w:rPr>
        <w:t xml:space="preserve"> ou Executados</w:t>
      </w:r>
      <w:r w:rsidR="00031FD7" w:rsidRPr="00031FD7">
        <w:rPr>
          <w:rFonts w:ascii="Calibri" w:hAnsi="Calibri" w:cs="Calibri"/>
          <w:highlight w:val="yellow"/>
        </w:rPr>
        <w:t xml:space="preserve"> ou Executada ou Executadas</w:t>
      </w:r>
      <w:r w:rsidR="00D947D7" w:rsidRPr="00031FD7">
        <w:rPr>
          <w:rFonts w:ascii="Calibri" w:hAnsi="Calibri" w:cs="Calibri"/>
          <w:highlight w:val="yellow"/>
        </w:rPr>
        <w:t>)</w:t>
      </w:r>
      <w:r>
        <w:rPr>
          <w:rFonts w:ascii="Calibri" w:hAnsi="Calibri" w:cs="Calibri"/>
          <w:color w:val="000000"/>
        </w:rPr>
        <w:t xml:space="preserve"> com o débito exequendo em questão. </w:t>
      </w:r>
    </w:p>
    <w:p w:rsidR="00D947D7" w:rsidRDefault="00F70B57" w:rsidP="00D947D7">
      <w:pPr>
        <w:pStyle w:val="NormalWeb"/>
        <w:spacing w:before="472" w:beforeAutospacing="0" w:after="0" w:afterAutospacing="0" w:line="276" w:lineRule="auto"/>
        <w:ind w:left="25"/>
      </w:pPr>
      <w:r>
        <w:rPr>
          <w:rFonts w:ascii="Calibri" w:hAnsi="Calibri" w:cs="Calibri"/>
          <w:color w:val="000000"/>
        </w:rPr>
        <w:t>Nesses termos,</w:t>
      </w:r>
      <w:r w:rsidR="00961B36">
        <w:rPr>
          <w:rFonts w:ascii="Calibri" w:hAnsi="Calibri" w:cs="Calibri"/>
          <w:color w:val="000000"/>
        </w:rPr>
        <w:t xml:space="preserve"> p</w:t>
      </w:r>
      <w:r>
        <w:rPr>
          <w:rFonts w:ascii="Calibri" w:hAnsi="Calibri" w:cs="Calibri"/>
          <w:color w:val="000000"/>
        </w:rPr>
        <w:t>ede deferimento.</w:t>
      </w:r>
    </w:p>
    <w:p w:rsidR="00F70B57" w:rsidRDefault="00F70B57" w:rsidP="00D947D7">
      <w:pPr>
        <w:pStyle w:val="NormalWeb"/>
        <w:spacing w:before="472" w:beforeAutospacing="0" w:after="0" w:afterAutospacing="0" w:line="276" w:lineRule="auto"/>
        <w:ind w:left="25"/>
      </w:pPr>
      <w:r>
        <w:rPr>
          <w:rFonts w:ascii="Calibri" w:hAnsi="Calibri" w:cs="Calibri"/>
          <w:color w:val="000000"/>
        </w:rPr>
        <w:t xml:space="preserve">De Belo Horizonte/MG para </w:t>
      </w:r>
      <w:r w:rsidR="00D947D7" w:rsidRPr="00293876">
        <w:rPr>
          <w:rFonts w:ascii="Calibri" w:hAnsi="Calibri" w:cs="Calibri,Bold"/>
          <w:b/>
          <w:bCs/>
          <w:color w:val="000000"/>
          <w:szCs w:val="22"/>
          <w:highlight w:val="yellow"/>
        </w:rPr>
        <w:t>(município ou regional</w:t>
      </w:r>
      <w:proofErr w:type="gramStart"/>
      <w:r w:rsidR="00D947D7" w:rsidRPr="00293876">
        <w:rPr>
          <w:rFonts w:ascii="Calibri" w:hAnsi="Calibri" w:cs="Calibri,Bold"/>
          <w:b/>
          <w:bCs/>
          <w:color w:val="000000"/>
          <w:szCs w:val="22"/>
          <w:highlight w:val="yellow"/>
        </w:rPr>
        <w:t>)</w:t>
      </w:r>
      <w:proofErr w:type="gramEnd"/>
      <w:r w:rsidR="00D947D7">
        <w:rPr>
          <w:rFonts w:ascii="Calibri" w:hAnsi="Calibri" w:cs="Calibri,Bold"/>
          <w:b/>
          <w:bCs/>
          <w:color w:val="000000"/>
          <w:szCs w:val="22"/>
        </w:rPr>
        <w:t>/</w:t>
      </w:r>
      <w:r w:rsidR="00D947D7" w:rsidRPr="00293876">
        <w:rPr>
          <w:rFonts w:ascii="Calibri" w:hAnsi="Calibri" w:cs="Calibri,Bold"/>
          <w:b/>
          <w:bCs/>
          <w:color w:val="000000"/>
          <w:szCs w:val="22"/>
          <w:highlight w:val="yellow"/>
        </w:rPr>
        <w:t>(abreviação do estado)</w:t>
      </w:r>
      <w:r w:rsidR="004F11E1">
        <w:rPr>
          <w:rFonts w:ascii="Calibri" w:hAnsi="Calibri" w:cs="Calibri"/>
          <w:color w:val="000000"/>
        </w:rPr>
        <w:t>, 09 de abril</w:t>
      </w:r>
      <w:r w:rsidR="00961B36">
        <w:rPr>
          <w:rFonts w:ascii="Calibri" w:hAnsi="Calibri" w:cs="Calibri"/>
          <w:color w:val="000000"/>
        </w:rPr>
        <w:t xml:space="preserve"> de 2025</w:t>
      </w:r>
      <w:r>
        <w:rPr>
          <w:rFonts w:ascii="Calibri" w:hAnsi="Calibri" w:cs="Calibri"/>
          <w:color w:val="000000"/>
        </w:rPr>
        <w:t>.</w:t>
      </w:r>
    </w:p>
    <w:p w:rsidR="00F70B57" w:rsidRPr="004F11E1" w:rsidRDefault="00F70B57" w:rsidP="004F11E1">
      <w:pPr>
        <w:pStyle w:val="NormalWeb"/>
        <w:spacing w:before="601" w:beforeAutospacing="0" w:after="0" w:afterAutospacing="0" w:line="276" w:lineRule="auto"/>
        <w:jc w:val="center"/>
      </w:pPr>
      <w:r w:rsidRPr="004F11E1">
        <w:rPr>
          <w:rFonts w:ascii="Calibri" w:hAnsi="Calibri" w:cs="Calibri"/>
          <w:b/>
          <w:bCs/>
          <w:color w:val="000000"/>
        </w:rPr>
        <w:t>PP. MARCELO CANDIOTTO FREIRE </w:t>
      </w:r>
    </w:p>
    <w:p w:rsidR="00F70B57" w:rsidRPr="004F11E1" w:rsidRDefault="00F70B57" w:rsidP="004F11E1">
      <w:pPr>
        <w:pStyle w:val="NormalWeb"/>
        <w:spacing w:before="15" w:beforeAutospacing="0" w:after="0" w:afterAutospacing="0" w:line="276" w:lineRule="auto"/>
        <w:jc w:val="center"/>
      </w:pPr>
      <w:r w:rsidRPr="004F11E1">
        <w:rPr>
          <w:rFonts w:ascii="Calibri" w:hAnsi="Calibri" w:cs="Calibri"/>
          <w:b/>
          <w:bCs/>
          <w:color w:val="000000"/>
        </w:rPr>
        <w:t>OAB/MG 104.784</w:t>
      </w:r>
    </w:p>
    <w:p w:rsidR="00D947D7" w:rsidRPr="00CC18FA" w:rsidRDefault="00D947D7" w:rsidP="00D947D7">
      <w:pPr>
        <w:spacing w:line="360" w:lineRule="auto"/>
        <w:jc w:val="center"/>
        <w:rPr>
          <w:rFonts w:ascii="Calibri" w:hAnsi="Calibri" w:cs="Calibri"/>
          <w:b/>
          <w:smallCaps/>
          <w:sz w:val="24"/>
          <w:szCs w:val="22"/>
        </w:rPr>
      </w:pPr>
      <w:r w:rsidRPr="00293876">
        <w:rPr>
          <w:rFonts w:ascii="Calibri" w:hAnsi="Calibri" w:cs="Calibri"/>
          <w:b/>
          <w:smallCaps/>
          <w:sz w:val="24"/>
          <w:szCs w:val="22"/>
          <w:highlight w:val="yellow"/>
        </w:rPr>
        <w:t>(OAB do estado de tramitação do processo)</w:t>
      </w:r>
      <w:r w:rsidRPr="00CC18FA">
        <w:rPr>
          <w:rFonts w:ascii="Calibri" w:hAnsi="Calibri" w:cs="Calibri"/>
          <w:b/>
          <w:smallCaps/>
          <w:sz w:val="24"/>
          <w:szCs w:val="22"/>
        </w:rPr>
        <w:t xml:space="preserve"> </w:t>
      </w:r>
    </w:p>
    <w:p w:rsidR="001E1905" w:rsidRPr="00876B96" w:rsidRDefault="001E1905" w:rsidP="004F11E1">
      <w:pPr>
        <w:spacing w:line="276" w:lineRule="auto"/>
      </w:pPr>
    </w:p>
    <w:sectPr w:rsidR="001E1905" w:rsidRPr="00876B96" w:rsidSect="00961B36">
      <w:headerReference w:type="default" r:id="rId7"/>
      <w:footerReference w:type="default" r:id="rId8"/>
      <w:pgSz w:w="11906" w:h="16838" w:code="9"/>
      <w:pgMar w:top="1418" w:right="1418" w:bottom="1134" w:left="1701" w:header="851" w:footer="104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DDE" w:rsidRDefault="00304DDE" w:rsidP="00254007">
      <w:r>
        <w:separator/>
      </w:r>
    </w:p>
  </w:endnote>
  <w:endnote w:type="continuationSeparator" w:id="0">
    <w:p w:rsidR="00304DDE" w:rsidRDefault="00304DDE" w:rsidP="002540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RotisSansSerif">
    <w:altName w:val="Arial"/>
    <w:panose1 w:val="00000000000000000000"/>
    <w:charset w:val="00"/>
    <w:family w:val="modern"/>
    <w:notTrueType/>
    <w:pitch w:val="variable"/>
    <w:sig w:usb0="00000001" w:usb1="40000048" w:usb2="00000000" w:usb3="00000000" w:csb0="0000011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58A" w:rsidRDefault="00FD358A">
    <w:pPr>
      <w:pStyle w:val="Rodap"/>
      <w:jc w:val="right"/>
    </w:pPr>
    <w:r w:rsidRPr="007415E6">
      <w:rPr>
        <w:rFonts w:ascii="Calibri" w:hAnsi="Calibri"/>
        <w:sz w:val="20"/>
        <w:szCs w:val="20"/>
      </w:rPr>
      <w:t xml:space="preserve">Página </w:t>
    </w:r>
    <w:r w:rsidR="00095CAA" w:rsidRPr="007415E6">
      <w:rPr>
        <w:rFonts w:ascii="Calibri" w:hAnsi="Calibri"/>
        <w:sz w:val="20"/>
        <w:szCs w:val="20"/>
      </w:rPr>
      <w:fldChar w:fldCharType="begin"/>
    </w:r>
    <w:r w:rsidRPr="007415E6">
      <w:rPr>
        <w:rFonts w:ascii="Calibri" w:hAnsi="Calibri"/>
        <w:sz w:val="20"/>
        <w:szCs w:val="20"/>
      </w:rPr>
      <w:instrText>PAGE</w:instrText>
    </w:r>
    <w:r w:rsidR="00095CAA" w:rsidRPr="007415E6">
      <w:rPr>
        <w:rFonts w:ascii="Calibri" w:hAnsi="Calibri"/>
        <w:sz w:val="20"/>
        <w:szCs w:val="20"/>
      </w:rPr>
      <w:fldChar w:fldCharType="separate"/>
    </w:r>
    <w:r w:rsidR="00031FD7">
      <w:rPr>
        <w:rFonts w:ascii="Calibri" w:hAnsi="Calibri"/>
        <w:noProof/>
        <w:sz w:val="20"/>
        <w:szCs w:val="20"/>
      </w:rPr>
      <w:t>4</w:t>
    </w:r>
    <w:r w:rsidR="00095CAA" w:rsidRPr="007415E6">
      <w:rPr>
        <w:rFonts w:ascii="Calibri" w:hAnsi="Calibri"/>
        <w:sz w:val="20"/>
        <w:szCs w:val="20"/>
      </w:rPr>
      <w:fldChar w:fldCharType="end"/>
    </w:r>
    <w:r w:rsidRPr="007415E6">
      <w:rPr>
        <w:rFonts w:ascii="Calibri" w:hAnsi="Calibri"/>
        <w:sz w:val="20"/>
        <w:szCs w:val="20"/>
      </w:rPr>
      <w:t xml:space="preserve"> de </w:t>
    </w:r>
    <w:r w:rsidR="00095CAA" w:rsidRPr="007415E6">
      <w:rPr>
        <w:rFonts w:ascii="Calibri" w:hAnsi="Calibri"/>
        <w:sz w:val="20"/>
        <w:szCs w:val="20"/>
      </w:rPr>
      <w:fldChar w:fldCharType="begin"/>
    </w:r>
    <w:r w:rsidRPr="007415E6">
      <w:rPr>
        <w:rFonts w:ascii="Calibri" w:hAnsi="Calibri"/>
        <w:sz w:val="20"/>
        <w:szCs w:val="20"/>
      </w:rPr>
      <w:instrText>NUMPAGES</w:instrText>
    </w:r>
    <w:r w:rsidR="00095CAA" w:rsidRPr="007415E6">
      <w:rPr>
        <w:rFonts w:ascii="Calibri" w:hAnsi="Calibri"/>
        <w:sz w:val="20"/>
        <w:szCs w:val="20"/>
      </w:rPr>
      <w:fldChar w:fldCharType="separate"/>
    </w:r>
    <w:r w:rsidR="00031FD7">
      <w:rPr>
        <w:rFonts w:ascii="Calibri" w:hAnsi="Calibri"/>
        <w:noProof/>
        <w:sz w:val="20"/>
        <w:szCs w:val="20"/>
      </w:rPr>
      <w:t>4</w:t>
    </w:r>
    <w:r w:rsidR="00095CAA" w:rsidRPr="007415E6">
      <w:rPr>
        <w:rFonts w:ascii="Calibri" w:hAnsi="Calibri"/>
        <w:sz w:val="20"/>
        <w:szCs w:val="20"/>
      </w:rPr>
      <w:fldChar w:fldCharType="end"/>
    </w:r>
  </w:p>
  <w:p w:rsidR="00FD358A" w:rsidRDefault="00FD358A">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DDE" w:rsidRDefault="00304DDE" w:rsidP="00254007">
      <w:r>
        <w:separator/>
      </w:r>
    </w:p>
  </w:footnote>
  <w:footnote w:type="continuationSeparator" w:id="0">
    <w:p w:rsidR="00304DDE" w:rsidRDefault="00304DDE" w:rsidP="00254007">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D358A" w:rsidRDefault="00F70B57" w:rsidP="002606F0">
    <w:pPr>
      <w:pStyle w:val="Cabealho"/>
      <w:tabs>
        <w:tab w:val="left" w:pos="1640"/>
      </w:tabs>
    </w:pPr>
    <w:r>
      <w:rPr>
        <w:noProof/>
      </w:rPr>
      <w:drawing>
        <wp:anchor distT="0" distB="0" distL="114300" distR="114300" simplePos="0" relativeHeight="251657728" behindDoc="1" locked="0" layoutInCell="1" allowOverlap="1">
          <wp:simplePos x="0" y="0"/>
          <wp:positionH relativeFrom="page">
            <wp:posOffset>2540</wp:posOffset>
          </wp:positionH>
          <wp:positionV relativeFrom="page">
            <wp:posOffset>-139700</wp:posOffset>
          </wp:positionV>
          <wp:extent cx="7551420" cy="10896600"/>
          <wp:effectExtent l="1905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7551420" cy="10896600"/>
                  </a:xfrm>
                  <a:prstGeom prst="rect">
                    <a:avLst/>
                  </a:prstGeom>
                  <a:noFill/>
                  <a:ln w="9525">
                    <a:noFill/>
                    <a:miter lim="800000"/>
                    <a:headEnd/>
                    <a:tailEnd/>
                  </a:ln>
                </pic:spPr>
              </pic:pic>
            </a:graphicData>
          </a:graphic>
        </wp:anchor>
      </w:drawing>
    </w:r>
    <w:r w:rsidR="00FD358A">
      <w:tab/>
    </w:r>
  </w:p>
  <w:p w:rsidR="00FD358A" w:rsidRDefault="00FD358A">
    <w:pPr>
      <w:pStyle w:val="Cabealh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66595D"/>
    <w:multiLevelType w:val="multilevel"/>
    <w:tmpl w:val="381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D587A2C"/>
    <w:multiLevelType w:val="multilevel"/>
    <w:tmpl w:val="62C6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rsids>
    <w:rsidRoot w:val="00254007"/>
    <w:rsid w:val="00006007"/>
    <w:rsid w:val="00031FD7"/>
    <w:rsid w:val="00032665"/>
    <w:rsid w:val="00035BCA"/>
    <w:rsid w:val="000417AA"/>
    <w:rsid w:val="0006373B"/>
    <w:rsid w:val="00066147"/>
    <w:rsid w:val="00095CAA"/>
    <w:rsid w:val="000A54A2"/>
    <w:rsid w:val="000A7B85"/>
    <w:rsid w:val="000B3C0F"/>
    <w:rsid w:val="000B625B"/>
    <w:rsid w:val="000C1613"/>
    <w:rsid w:val="000D0A14"/>
    <w:rsid w:val="000D59CF"/>
    <w:rsid w:val="000D5DA8"/>
    <w:rsid w:val="000D6838"/>
    <w:rsid w:val="000F1956"/>
    <w:rsid w:val="00115AC1"/>
    <w:rsid w:val="001512D4"/>
    <w:rsid w:val="00151C35"/>
    <w:rsid w:val="00161DE1"/>
    <w:rsid w:val="00184597"/>
    <w:rsid w:val="00192C84"/>
    <w:rsid w:val="00193CF2"/>
    <w:rsid w:val="001B35BE"/>
    <w:rsid w:val="001B4206"/>
    <w:rsid w:val="001C061A"/>
    <w:rsid w:val="001C4EA0"/>
    <w:rsid w:val="001D25F9"/>
    <w:rsid w:val="001E1905"/>
    <w:rsid w:val="001F0089"/>
    <w:rsid w:val="001F5412"/>
    <w:rsid w:val="0020216C"/>
    <w:rsid w:val="002206E7"/>
    <w:rsid w:val="002230D9"/>
    <w:rsid w:val="00224DB1"/>
    <w:rsid w:val="0024264C"/>
    <w:rsid w:val="00245B89"/>
    <w:rsid w:val="00251D4A"/>
    <w:rsid w:val="00254007"/>
    <w:rsid w:val="002606F0"/>
    <w:rsid w:val="002617B1"/>
    <w:rsid w:val="00283E65"/>
    <w:rsid w:val="00287FEE"/>
    <w:rsid w:val="00290407"/>
    <w:rsid w:val="00296A89"/>
    <w:rsid w:val="00297F20"/>
    <w:rsid w:val="002A1EDF"/>
    <w:rsid w:val="002B797B"/>
    <w:rsid w:val="002D16D6"/>
    <w:rsid w:val="002D355B"/>
    <w:rsid w:val="002D65B0"/>
    <w:rsid w:val="002E5337"/>
    <w:rsid w:val="003012D6"/>
    <w:rsid w:val="003027D7"/>
    <w:rsid w:val="00304DDE"/>
    <w:rsid w:val="003052EA"/>
    <w:rsid w:val="00310B68"/>
    <w:rsid w:val="00320180"/>
    <w:rsid w:val="00337E49"/>
    <w:rsid w:val="003518DA"/>
    <w:rsid w:val="0035328E"/>
    <w:rsid w:val="00367187"/>
    <w:rsid w:val="00370E70"/>
    <w:rsid w:val="0038005A"/>
    <w:rsid w:val="003A3E1D"/>
    <w:rsid w:val="003A4891"/>
    <w:rsid w:val="003B1CFC"/>
    <w:rsid w:val="003E3571"/>
    <w:rsid w:val="0040023F"/>
    <w:rsid w:val="004044F7"/>
    <w:rsid w:val="00413ACE"/>
    <w:rsid w:val="004202A5"/>
    <w:rsid w:val="004506C5"/>
    <w:rsid w:val="00456A3A"/>
    <w:rsid w:val="004574B6"/>
    <w:rsid w:val="00461F7B"/>
    <w:rsid w:val="00462E8F"/>
    <w:rsid w:val="0046423E"/>
    <w:rsid w:val="0046634A"/>
    <w:rsid w:val="004760F6"/>
    <w:rsid w:val="00490A6D"/>
    <w:rsid w:val="004B40C4"/>
    <w:rsid w:val="004C01AC"/>
    <w:rsid w:val="004C4F3A"/>
    <w:rsid w:val="004D7EA5"/>
    <w:rsid w:val="004E4A19"/>
    <w:rsid w:val="004F11E1"/>
    <w:rsid w:val="004F5759"/>
    <w:rsid w:val="004F73B7"/>
    <w:rsid w:val="0051168C"/>
    <w:rsid w:val="005116E2"/>
    <w:rsid w:val="0051330D"/>
    <w:rsid w:val="0052038B"/>
    <w:rsid w:val="00547AA3"/>
    <w:rsid w:val="00552839"/>
    <w:rsid w:val="0056449C"/>
    <w:rsid w:val="005746B3"/>
    <w:rsid w:val="0058130A"/>
    <w:rsid w:val="00596C5F"/>
    <w:rsid w:val="005A43F0"/>
    <w:rsid w:val="005C7E27"/>
    <w:rsid w:val="005E033C"/>
    <w:rsid w:val="005F039E"/>
    <w:rsid w:val="005F0E6E"/>
    <w:rsid w:val="005F29A8"/>
    <w:rsid w:val="005F49B5"/>
    <w:rsid w:val="006011A4"/>
    <w:rsid w:val="006046CC"/>
    <w:rsid w:val="006163DF"/>
    <w:rsid w:val="00623043"/>
    <w:rsid w:val="00634573"/>
    <w:rsid w:val="00685A32"/>
    <w:rsid w:val="00693C49"/>
    <w:rsid w:val="006968FC"/>
    <w:rsid w:val="006B6E02"/>
    <w:rsid w:val="006C6FA0"/>
    <w:rsid w:val="006E1AD1"/>
    <w:rsid w:val="006E7C3B"/>
    <w:rsid w:val="006F4E0C"/>
    <w:rsid w:val="00706E1C"/>
    <w:rsid w:val="007307E6"/>
    <w:rsid w:val="00733700"/>
    <w:rsid w:val="007415E6"/>
    <w:rsid w:val="00746C93"/>
    <w:rsid w:val="0076119E"/>
    <w:rsid w:val="007765D3"/>
    <w:rsid w:val="007D232F"/>
    <w:rsid w:val="007F3FBB"/>
    <w:rsid w:val="00805051"/>
    <w:rsid w:val="008074CF"/>
    <w:rsid w:val="00811826"/>
    <w:rsid w:val="00824AEB"/>
    <w:rsid w:val="008351B0"/>
    <w:rsid w:val="008366F7"/>
    <w:rsid w:val="00850506"/>
    <w:rsid w:val="00854622"/>
    <w:rsid w:val="0086166C"/>
    <w:rsid w:val="00861788"/>
    <w:rsid w:val="008668CF"/>
    <w:rsid w:val="00876B96"/>
    <w:rsid w:val="00877940"/>
    <w:rsid w:val="00886DA8"/>
    <w:rsid w:val="00890563"/>
    <w:rsid w:val="008B2871"/>
    <w:rsid w:val="008B706D"/>
    <w:rsid w:val="008C62B8"/>
    <w:rsid w:val="008E24F3"/>
    <w:rsid w:val="008E52E9"/>
    <w:rsid w:val="00902199"/>
    <w:rsid w:val="009219D3"/>
    <w:rsid w:val="0092210D"/>
    <w:rsid w:val="00941EF8"/>
    <w:rsid w:val="00942EC5"/>
    <w:rsid w:val="00944B95"/>
    <w:rsid w:val="00944FFB"/>
    <w:rsid w:val="009605EB"/>
    <w:rsid w:val="00961B36"/>
    <w:rsid w:val="009652CF"/>
    <w:rsid w:val="009735CB"/>
    <w:rsid w:val="009910AD"/>
    <w:rsid w:val="00997C25"/>
    <w:rsid w:val="009A372F"/>
    <w:rsid w:val="009B7F89"/>
    <w:rsid w:val="009C5A21"/>
    <w:rsid w:val="00A028C9"/>
    <w:rsid w:val="00A3537B"/>
    <w:rsid w:val="00A37F84"/>
    <w:rsid w:val="00A45440"/>
    <w:rsid w:val="00A525D6"/>
    <w:rsid w:val="00A54B72"/>
    <w:rsid w:val="00A54D42"/>
    <w:rsid w:val="00A61524"/>
    <w:rsid w:val="00A635C8"/>
    <w:rsid w:val="00A73E66"/>
    <w:rsid w:val="00A914AB"/>
    <w:rsid w:val="00AB031D"/>
    <w:rsid w:val="00AB09D1"/>
    <w:rsid w:val="00AD0C04"/>
    <w:rsid w:val="00AD7B0D"/>
    <w:rsid w:val="00AF49F6"/>
    <w:rsid w:val="00AF73B1"/>
    <w:rsid w:val="00B21637"/>
    <w:rsid w:val="00B2690A"/>
    <w:rsid w:val="00B34892"/>
    <w:rsid w:val="00B354B5"/>
    <w:rsid w:val="00B43986"/>
    <w:rsid w:val="00B5169E"/>
    <w:rsid w:val="00B638AB"/>
    <w:rsid w:val="00B81A8B"/>
    <w:rsid w:val="00B84305"/>
    <w:rsid w:val="00B93C1E"/>
    <w:rsid w:val="00B977D0"/>
    <w:rsid w:val="00BB058F"/>
    <w:rsid w:val="00BB465D"/>
    <w:rsid w:val="00BD0DBB"/>
    <w:rsid w:val="00BD23FB"/>
    <w:rsid w:val="00BD4D1D"/>
    <w:rsid w:val="00BE2721"/>
    <w:rsid w:val="00BF3824"/>
    <w:rsid w:val="00C00D3A"/>
    <w:rsid w:val="00C01253"/>
    <w:rsid w:val="00C034B0"/>
    <w:rsid w:val="00C03FFD"/>
    <w:rsid w:val="00C327BC"/>
    <w:rsid w:val="00C532D7"/>
    <w:rsid w:val="00C6399B"/>
    <w:rsid w:val="00C80B02"/>
    <w:rsid w:val="00C87A32"/>
    <w:rsid w:val="00C9773D"/>
    <w:rsid w:val="00CD1074"/>
    <w:rsid w:val="00CD1EE8"/>
    <w:rsid w:val="00CF2674"/>
    <w:rsid w:val="00D04023"/>
    <w:rsid w:val="00D23100"/>
    <w:rsid w:val="00D4078D"/>
    <w:rsid w:val="00D6543E"/>
    <w:rsid w:val="00D92EF9"/>
    <w:rsid w:val="00D932F4"/>
    <w:rsid w:val="00D9331B"/>
    <w:rsid w:val="00D947D7"/>
    <w:rsid w:val="00DA12B9"/>
    <w:rsid w:val="00DA14B5"/>
    <w:rsid w:val="00DB796E"/>
    <w:rsid w:val="00DC0541"/>
    <w:rsid w:val="00DF2FCB"/>
    <w:rsid w:val="00E05769"/>
    <w:rsid w:val="00E26D9F"/>
    <w:rsid w:val="00E366A4"/>
    <w:rsid w:val="00E67FBA"/>
    <w:rsid w:val="00E71914"/>
    <w:rsid w:val="00E75A46"/>
    <w:rsid w:val="00E81CFB"/>
    <w:rsid w:val="00E9160F"/>
    <w:rsid w:val="00E97F11"/>
    <w:rsid w:val="00EA37CF"/>
    <w:rsid w:val="00EB5A0E"/>
    <w:rsid w:val="00EB5E9B"/>
    <w:rsid w:val="00EC25FE"/>
    <w:rsid w:val="00EC603B"/>
    <w:rsid w:val="00EE0006"/>
    <w:rsid w:val="00F04C7E"/>
    <w:rsid w:val="00F10025"/>
    <w:rsid w:val="00F114E9"/>
    <w:rsid w:val="00F47B84"/>
    <w:rsid w:val="00F61C9A"/>
    <w:rsid w:val="00F66E4B"/>
    <w:rsid w:val="00F70B57"/>
    <w:rsid w:val="00F71563"/>
    <w:rsid w:val="00F738DB"/>
    <w:rsid w:val="00F845A6"/>
    <w:rsid w:val="00F85958"/>
    <w:rsid w:val="00FA1B94"/>
    <w:rsid w:val="00FA3562"/>
    <w:rsid w:val="00FC33B6"/>
    <w:rsid w:val="00FD358A"/>
    <w:rsid w:val="00FD443A"/>
    <w:rsid w:val="00FD4B1E"/>
    <w:rsid w:val="00FD5836"/>
    <w:rsid w:val="00FF0C3E"/>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54007"/>
    <w:pPr>
      <w:jc w:val="both"/>
    </w:pPr>
    <w:rPr>
      <w:rFonts w:ascii="RotisSansSerif" w:eastAsia="Times New Roman" w:hAnsi="RotisSansSerif"/>
      <w:sz w:val="26"/>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254007"/>
    <w:pPr>
      <w:tabs>
        <w:tab w:val="center" w:pos="4252"/>
        <w:tab w:val="right" w:pos="8504"/>
      </w:tabs>
    </w:pPr>
  </w:style>
  <w:style w:type="character" w:customStyle="1" w:styleId="RodapChar">
    <w:name w:val="Rodapé Char"/>
    <w:basedOn w:val="Fontepargpadro"/>
    <w:link w:val="Rodap"/>
    <w:uiPriority w:val="99"/>
    <w:rsid w:val="00254007"/>
    <w:rPr>
      <w:rFonts w:ascii="RotisSansSerif" w:eastAsia="Times New Roman" w:hAnsi="RotisSansSerif" w:cs="Times New Roman"/>
      <w:sz w:val="26"/>
      <w:szCs w:val="24"/>
      <w:lang w:eastAsia="pt-BR"/>
    </w:rPr>
  </w:style>
  <w:style w:type="character" w:styleId="Nmerodepgina">
    <w:name w:val="page number"/>
    <w:basedOn w:val="Fontepargpadro"/>
    <w:rsid w:val="00254007"/>
  </w:style>
  <w:style w:type="paragraph" w:styleId="Cabealho">
    <w:name w:val="header"/>
    <w:basedOn w:val="Normal"/>
    <w:link w:val="CabealhoChar"/>
    <w:uiPriority w:val="99"/>
    <w:rsid w:val="00254007"/>
    <w:pPr>
      <w:tabs>
        <w:tab w:val="center" w:pos="4252"/>
        <w:tab w:val="right" w:pos="8504"/>
      </w:tabs>
    </w:pPr>
  </w:style>
  <w:style w:type="character" w:customStyle="1" w:styleId="CabealhoChar">
    <w:name w:val="Cabeçalho Char"/>
    <w:basedOn w:val="Fontepargpadro"/>
    <w:link w:val="Cabealho"/>
    <w:uiPriority w:val="99"/>
    <w:rsid w:val="00254007"/>
    <w:rPr>
      <w:rFonts w:ascii="RotisSansSerif" w:eastAsia="Times New Roman" w:hAnsi="RotisSansSerif" w:cs="Times New Roman"/>
      <w:sz w:val="26"/>
      <w:szCs w:val="24"/>
      <w:lang w:eastAsia="pt-BR"/>
    </w:rPr>
  </w:style>
  <w:style w:type="paragraph" w:styleId="SemEspaamento">
    <w:name w:val="No Spacing"/>
    <w:uiPriority w:val="1"/>
    <w:qFormat/>
    <w:rsid w:val="00006007"/>
    <w:pPr>
      <w:ind w:firstLine="1985"/>
      <w:jc w:val="both"/>
    </w:pPr>
    <w:rPr>
      <w:rFonts w:ascii="RotisSansSerif" w:hAnsi="RotisSansSerif"/>
      <w:sz w:val="24"/>
      <w:szCs w:val="22"/>
      <w:lang w:eastAsia="en-US"/>
    </w:rPr>
  </w:style>
  <w:style w:type="character" w:customStyle="1" w:styleId="apple-converted-space">
    <w:name w:val="apple-converted-space"/>
    <w:basedOn w:val="Fontepargpadro"/>
    <w:rsid w:val="004044F7"/>
  </w:style>
  <w:style w:type="table" w:styleId="Tabelacomgrade">
    <w:name w:val="Table Grid"/>
    <w:basedOn w:val="Tabelanormal"/>
    <w:uiPriority w:val="59"/>
    <w:rsid w:val="009219D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artigo">
    <w:name w:val="artigo"/>
    <w:basedOn w:val="Normal"/>
    <w:rsid w:val="00F114E9"/>
    <w:pPr>
      <w:spacing w:before="100" w:beforeAutospacing="1" w:after="100" w:afterAutospacing="1"/>
      <w:jc w:val="left"/>
    </w:pPr>
    <w:rPr>
      <w:rFonts w:ascii="Times New Roman" w:hAnsi="Times New Roman"/>
      <w:sz w:val="24"/>
    </w:rPr>
  </w:style>
  <w:style w:type="character" w:styleId="Hyperlink">
    <w:name w:val="Hyperlink"/>
    <w:basedOn w:val="Fontepargpadro"/>
    <w:uiPriority w:val="99"/>
    <w:unhideWhenUsed/>
    <w:rsid w:val="00115AC1"/>
    <w:rPr>
      <w:color w:val="0000FF"/>
      <w:u w:val="single"/>
    </w:rPr>
  </w:style>
  <w:style w:type="paragraph" w:styleId="Textodebalo">
    <w:name w:val="Balloon Text"/>
    <w:basedOn w:val="Normal"/>
    <w:link w:val="TextodebaloChar"/>
    <w:uiPriority w:val="99"/>
    <w:semiHidden/>
    <w:unhideWhenUsed/>
    <w:rsid w:val="001B35BE"/>
    <w:rPr>
      <w:rFonts w:ascii="Tahoma" w:hAnsi="Tahoma" w:cs="Tahoma"/>
      <w:sz w:val="16"/>
      <w:szCs w:val="16"/>
    </w:rPr>
  </w:style>
  <w:style w:type="character" w:customStyle="1" w:styleId="TextodebaloChar">
    <w:name w:val="Texto de balão Char"/>
    <w:basedOn w:val="Fontepargpadro"/>
    <w:link w:val="Textodebalo"/>
    <w:uiPriority w:val="99"/>
    <w:semiHidden/>
    <w:rsid w:val="001B35BE"/>
    <w:rPr>
      <w:rFonts w:ascii="Tahoma" w:eastAsia="Times New Roman" w:hAnsi="Tahoma" w:cs="Tahoma"/>
      <w:sz w:val="16"/>
      <w:szCs w:val="16"/>
    </w:rPr>
  </w:style>
  <w:style w:type="character" w:customStyle="1" w:styleId="markedcontent">
    <w:name w:val="markedcontent"/>
    <w:basedOn w:val="Fontepargpadro"/>
    <w:rsid w:val="00547AA3"/>
  </w:style>
  <w:style w:type="paragraph" w:styleId="NormalWeb">
    <w:name w:val="Normal (Web)"/>
    <w:basedOn w:val="Normal"/>
    <w:uiPriority w:val="99"/>
    <w:semiHidden/>
    <w:unhideWhenUsed/>
    <w:rsid w:val="00F70B57"/>
    <w:pPr>
      <w:spacing w:before="100" w:beforeAutospacing="1" w:after="100" w:afterAutospacing="1"/>
      <w:jc w:val="left"/>
    </w:pPr>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divs>
    <w:div w:id="292564924">
      <w:bodyDiv w:val="1"/>
      <w:marLeft w:val="0"/>
      <w:marRight w:val="0"/>
      <w:marTop w:val="0"/>
      <w:marBottom w:val="0"/>
      <w:divBdr>
        <w:top w:val="none" w:sz="0" w:space="0" w:color="auto"/>
        <w:left w:val="none" w:sz="0" w:space="0" w:color="auto"/>
        <w:bottom w:val="none" w:sz="0" w:space="0" w:color="auto"/>
        <w:right w:val="none" w:sz="0" w:space="0" w:color="auto"/>
      </w:divBdr>
    </w:div>
    <w:div w:id="1071080754">
      <w:bodyDiv w:val="1"/>
      <w:marLeft w:val="0"/>
      <w:marRight w:val="0"/>
      <w:marTop w:val="0"/>
      <w:marBottom w:val="0"/>
      <w:divBdr>
        <w:top w:val="none" w:sz="0" w:space="0" w:color="auto"/>
        <w:left w:val="none" w:sz="0" w:space="0" w:color="auto"/>
        <w:bottom w:val="none" w:sz="0" w:space="0" w:color="auto"/>
        <w:right w:val="none" w:sz="0" w:space="0" w:color="auto"/>
      </w:divBdr>
    </w:div>
    <w:div w:id="1315255544">
      <w:bodyDiv w:val="1"/>
      <w:marLeft w:val="0"/>
      <w:marRight w:val="0"/>
      <w:marTop w:val="0"/>
      <w:marBottom w:val="0"/>
      <w:divBdr>
        <w:top w:val="none" w:sz="0" w:space="0" w:color="auto"/>
        <w:left w:val="none" w:sz="0" w:space="0" w:color="auto"/>
        <w:bottom w:val="none" w:sz="0" w:space="0" w:color="auto"/>
        <w:right w:val="none" w:sz="0" w:space="0" w:color="auto"/>
      </w:divBdr>
    </w:div>
    <w:div w:id="1751466942">
      <w:bodyDiv w:val="1"/>
      <w:marLeft w:val="0"/>
      <w:marRight w:val="0"/>
      <w:marTop w:val="0"/>
      <w:marBottom w:val="0"/>
      <w:divBdr>
        <w:top w:val="none" w:sz="0" w:space="0" w:color="auto"/>
        <w:left w:val="none" w:sz="0" w:space="0" w:color="auto"/>
        <w:bottom w:val="none" w:sz="0" w:space="0" w:color="auto"/>
        <w:right w:val="none" w:sz="0" w:space="0" w:color="auto"/>
      </w:divBdr>
    </w:div>
    <w:div w:id="188097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1297</Words>
  <Characters>7008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8289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ana.laura</dc:creator>
  <cp:lastModifiedBy>fsm.savassi</cp:lastModifiedBy>
  <cp:revision>4</cp:revision>
  <cp:lastPrinted>2025-03-21T18:49:00Z</cp:lastPrinted>
  <dcterms:created xsi:type="dcterms:W3CDTF">2026-05-22T16:04:00Z</dcterms:created>
  <dcterms:modified xsi:type="dcterms:W3CDTF">2026-07-22T12:40:00Z</dcterms:modified>
</cp:coreProperties>
</file>