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</w:t>
      </w:r>
      <w:r w:rsidR="00C414CD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 xml:space="preserve">ré ou rés ou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B02CAF">
        <w:rPr>
          <w:rFonts w:ascii="Calibri" w:hAnsi="Calibri" w:cs="Calibri"/>
          <w:sz w:val="24"/>
          <w:szCs w:val="22"/>
        </w:rPr>
        <w:t xml:space="preserve"> seja determinada</w:t>
      </w:r>
      <w:r w:rsidRPr="00293876">
        <w:rPr>
          <w:rFonts w:ascii="Calibri" w:hAnsi="Calibri" w:cs="Calibri"/>
          <w:sz w:val="24"/>
          <w:szCs w:val="22"/>
        </w:rPr>
        <w:t xml:space="preserve"> </w:t>
      </w:r>
      <w:r w:rsidR="00B02CAF" w:rsidRPr="00B02CAF">
        <w:rPr>
          <w:rFonts w:ascii="Calibri" w:hAnsi="Calibri" w:cs="Calibri"/>
          <w:sz w:val="24"/>
          <w:szCs w:val="22"/>
        </w:rPr>
        <w:t xml:space="preserve">a realização de pesquisa pelo sistema </w:t>
      </w:r>
      <w:r w:rsidR="00B02CAF" w:rsidRPr="00B02CAF">
        <w:rPr>
          <w:rFonts w:ascii="Calibri" w:hAnsi="Calibri" w:cs="Calibri"/>
          <w:b/>
          <w:sz w:val="24"/>
          <w:szCs w:val="22"/>
        </w:rPr>
        <w:t>PREVJUD</w:t>
      </w:r>
      <w:r w:rsidR="00B02CAF" w:rsidRPr="00B02CAF">
        <w:rPr>
          <w:rFonts w:ascii="Calibri" w:hAnsi="Calibri" w:cs="Calibri"/>
          <w:sz w:val="24"/>
          <w:szCs w:val="22"/>
        </w:rPr>
        <w:t>, que fora instituído pelo Programa Justiça 4.0.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Pr="00B02CAF" w:rsidRDefault="00B02CAF" w:rsidP="00B02CAF">
      <w:pPr>
        <w:spacing w:line="360" w:lineRule="auto"/>
        <w:rPr>
          <w:rFonts w:ascii="Calibri" w:hAnsi="Calibri" w:cs="Calibri"/>
          <w:sz w:val="24"/>
          <w:szCs w:val="22"/>
        </w:rPr>
      </w:pPr>
      <w:r w:rsidRPr="00B02CAF">
        <w:rPr>
          <w:rFonts w:ascii="Calibri" w:hAnsi="Calibri" w:cs="Calibri"/>
          <w:sz w:val="24"/>
          <w:szCs w:val="22"/>
        </w:rPr>
        <w:t xml:space="preserve">O </w:t>
      </w:r>
      <w:r w:rsidRPr="00B02CAF">
        <w:rPr>
          <w:rFonts w:ascii="Calibri" w:hAnsi="Calibri" w:cs="Calibri"/>
          <w:b/>
          <w:sz w:val="24"/>
          <w:szCs w:val="22"/>
        </w:rPr>
        <w:t>Programa Justiça 4.0</w:t>
      </w:r>
      <w:r w:rsidRPr="00B02CAF">
        <w:rPr>
          <w:rFonts w:ascii="Calibri" w:hAnsi="Calibri" w:cs="Calibri"/>
          <w:sz w:val="24"/>
          <w:szCs w:val="22"/>
        </w:rPr>
        <w:t xml:space="preserve"> – Inovação e Efetividade na Realização da Justiça para Todos, desenvolvido por meio de parceria entre o Conselho Nacional de Justiça (CNJ), o Programa das Nações Unidas para o Desenvolvimento (PNUD) e o Conselho da Justiça Federal (CJF), com o apoio do Tribunal Superior Eleitoral (TSE), do Superior Tribunal de Justiça (STJ) e do Conselho Superior da Justiça do Trabalho (CSJT), elaborou duas novas ferramentas digitais com o objetivo de otimizar a prestação jurisdicional. Dentre elas, destaca-se o </w:t>
      </w:r>
      <w:r w:rsidRPr="00B02CAF">
        <w:rPr>
          <w:rFonts w:ascii="Calibri" w:hAnsi="Calibri" w:cs="Calibri"/>
          <w:b/>
          <w:sz w:val="24"/>
          <w:szCs w:val="22"/>
        </w:rPr>
        <w:t>PREVJUD</w:t>
      </w:r>
      <w:r w:rsidRPr="00B02CAF">
        <w:rPr>
          <w:rFonts w:ascii="Calibri" w:hAnsi="Calibri" w:cs="Calibri"/>
          <w:sz w:val="24"/>
          <w:szCs w:val="22"/>
        </w:rPr>
        <w:t>, voltado para as ações previdenciárias, que permite o acesso automático dos membros do Poder Judiciário a informações previdenciárias, além de viabilizar o envio automatizado de ordens judiciais ao INSS.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B02CAF">
        <w:rPr>
          <w:rFonts w:ascii="Calibri" w:hAnsi="Calibri" w:cs="Calibri"/>
          <w:sz w:val="24"/>
          <w:szCs w:val="22"/>
        </w:rPr>
        <w:lastRenderedPageBreak/>
        <w:t xml:space="preserve">É cabível a utilização do sistema </w:t>
      </w:r>
      <w:r w:rsidRPr="00B02CAF">
        <w:rPr>
          <w:rFonts w:ascii="Calibri" w:hAnsi="Calibri" w:cs="Calibri"/>
          <w:b/>
          <w:sz w:val="24"/>
          <w:szCs w:val="22"/>
        </w:rPr>
        <w:t>PREVJUD</w:t>
      </w:r>
      <w:r w:rsidRPr="00B02CAF">
        <w:rPr>
          <w:rFonts w:ascii="Calibri" w:hAnsi="Calibri" w:cs="Calibri"/>
          <w:sz w:val="24"/>
          <w:szCs w:val="22"/>
        </w:rPr>
        <w:t xml:space="preserve"> em ações de execução para obtenção de informações sobre rendimentos da parte executada, visando à verificação da possibilidade de penhora futura. O sistema </w:t>
      </w:r>
      <w:r w:rsidRPr="00B02CAF">
        <w:rPr>
          <w:rFonts w:ascii="Calibri" w:hAnsi="Calibri" w:cs="Calibri"/>
          <w:b/>
          <w:sz w:val="24"/>
          <w:szCs w:val="22"/>
        </w:rPr>
        <w:t>PREVJUD</w:t>
      </w:r>
      <w:r w:rsidRPr="00B02CAF">
        <w:rPr>
          <w:rFonts w:ascii="Calibri" w:hAnsi="Calibri" w:cs="Calibri"/>
          <w:sz w:val="24"/>
          <w:szCs w:val="22"/>
        </w:rPr>
        <w:t xml:space="preserve">, desenvolvido pelo Programa Justiça 4.0 do CNJ, possibilita o acesso automatizado a informações previdenciárias e o envio de ordens judiciais ao INSS, </w:t>
      </w:r>
      <w:r w:rsidRPr="00B02CAF">
        <w:rPr>
          <w:rFonts w:ascii="Calibri" w:hAnsi="Calibri" w:cs="Calibri"/>
          <w:b/>
          <w:sz w:val="24"/>
          <w:szCs w:val="22"/>
        </w:rPr>
        <w:t xml:space="preserve">garantindo maior celeridade e efetividade às decisões judiciais, especialmente em ações de execução. </w:t>
      </w:r>
      <w:r w:rsidRPr="00B02CAF">
        <w:rPr>
          <w:rFonts w:ascii="Calibri" w:hAnsi="Calibri" w:cs="Calibri"/>
          <w:sz w:val="24"/>
          <w:szCs w:val="22"/>
        </w:rPr>
        <w:t>Nesse sentido, pertinente mencionar as seguintes jurisprudências do Egrégio Tribunal de Minas Gerais:</w:t>
      </w:r>
    </w:p>
    <w:p w:rsidR="00B02CAF" w:rsidRDefault="00B02CAF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EMENTA: AGRAVO DE INSTRUMENTO - EXECUÇÃO - MEDIDAS ATÍPICAS - INCISO IV, DO ART. 139, DO CÓDIGO DE PROCESSO CIVIL - NECESSIDADE DE OBSERVÂNCIA AOS PRINCÍPIOS DA PROPORCIONALIDADE E DA RAZOABILIDADE - CONSULTA À PLATAFORMA PREVJUD - VERIFICAÇÃO DE TITULARIDADE DE BENEFÍCIO EM NOME DOS EXECUTADOS - POSSIBILIDADE.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- Consoante dispõe o inciso IV, do art. 139, do CPC, incumbe ao Juiz "determinar todas as medidas indutivas, coercitivas, mandamentais ou sub-rogatórias necessárias para assegurar o cumprimento de ordem judicial, inclusive nas ações que tenham por objeto prestação pecuniária".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- "É cabível o deferimento do pedido de consulta ao sistema PREVJUD, para aferir eventual existência de relação empregatícia da parte executada"</w:t>
      </w:r>
      <w:r w:rsidRPr="00B02CAF">
        <w:rPr>
          <w:rFonts w:ascii="Calibri" w:hAnsi="Calibri" w:cs="Calibri"/>
          <w:sz w:val="20"/>
          <w:szCs w:val="20"/>
        </w:rPr>
        <w:t>(TJMG - Agravo de Instrumento-Cv 1.0000.24.163028-4/001).  (TJMG -  Agravo de Instrumento-Cv  1.0000.24.164004-4/003, Relator(a): Des.(a) Roberto Vasconcellos , 17ª CÂMARA CÍVEL, julgamento em 02/07/2025, publicação da súmula em 04/07/2025) (destaquei)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EMENTA: EMENTA: DIREITO PROCESSUAL CIVIL. AGRAVO DE INSTRUMENTO. AÇÃO DE EXECUÇÃO. UTILIZAÇÃO DO SISTEMA PREVJUD. OBTENÇÃO DE INFORMAÇÕES SOBRE RENDIMENTOS DO EXECUTADO. POSSIBILIDADE. PRINCÍPIOS DA CELERIDADE E EFETIVIDADE PROCESSUAL. RECURSO PROVIDO.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I. CASO EM EXAME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Agravo de instrumento interposto contra decisão que indeferiu o pedido de utilização do sistema PREVJUD para obtenção de informações sobre rendimentos da parte executada, oriundos de vínculo empregatício ou benefício previdenciário, com o objetivo de verificar a possibilidade de penhora futura.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II. QUESTÃO EM DISCUSSÃO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Há duas questões em discussão: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lastRenderedPageBreak/>
        <w:t>(i) definir se é cabível a utilização do sistema PREVJUD na execução, como meio de obtenção de informações sobre rendimentos do devedor;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(ii) verificar se o indeferimento do pedido prejudica os princípios da celeridade e efetividade processual.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III. RAZÕES DE DECIDIR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O sistema PREVJUD, desenvolvido pelo Programa Justiça 4.0 do CNJ, possibilita o acesso automatizado a informações previdenciárias e o envio de ordens judiciais ao INSS, garantindo maior celeridade e efetividade às decisões judiciais, especialmente em ações de execução.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 xml:space="preserve">Nos termos do entendimento consolidado no Tema 79 do IRDR nº 1.0182.16.001439-1/001, do TJMG, </w:t>
      </w:r>
      <w:r w:rsidRPr="00B02CAF">
        <w:rPr>
          <w:rFonts w:ascii="Calibri" w:hAnsi="Calibri" w:cs="Calibri"/>
          <w:b/>
          <w:sz w:val="20"/>
          <w:szCs w:val="20"/>
        </w:rPr>
        <w:t>é permitida, de forma excepcional, a penhora de verba salarial para pagamento de dívida não alimentar, respeitado o limite de 30% do rendimento líquido e preservada a subsistência digna do devedor e de sua família. Assim, é legítima a utilização do sistema PREVJUD para a verificação de rendimentos que eventualmente possam ser objeto de penhora.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O Superior Tribunal de Justiça, no julgamento do EREsp 1.874.222/DF, também relativizou a impenhorabilidade de verbas salariais para pagamento de dívidas não alimentares, reforçando a possibilidade de penhora desde que respeitadas as garantias mínimas à subsistência do devedor.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A consulta ao sistema PREVJUD não viola qualquer dispositivo legal, sendo um instrumento legítimo para garantir a efetividade da execução, conforme jurisprudência do TJMG, que admite a utilização de sistemas judiciais para pesquisa de bens e rendimentos em situações de tentativas infrutíferas de localização de bens penhoráveis (Agravo de Instrumento-Cv 1.0000.23.152782-1/001).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A parte sucumbente deverá arcar com os custos das pesquisas realizadas, nos termos do art. 11, §§ 2º e 9º, do Provimento Conjunto nº 15/2010 do TJMG.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IV. DISPOSITIVO E TESE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Recurso provido.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Tese de julgamento: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É cabível a utilização do sistema PREVJUD em ações de execução para obtenção de informações sobre rendimentos da parte executada, visando à verificação da possibilidade de penhora futura.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b/>
          <w:sz w:val="20"/>
          <w:szCs w:val="20"/>
        </w:rPr>
      </w:pPr>
      <w:r w:rsidRPr="00B02CAF">
        <w:rPr>
          <w:rFonts w:ascii="Calibri" w:hAnsi="Calibri" w:cs="Calibri"/>
          <w:b/>
          <w:sz w:val="20"/>
          <w:szCs w:val="20"/>
        </w:rPr>
        <w:t>A penhora de rendimentos salariais ou previdenciários, de forma excepcional, é permitida para pagamento de dívidas não alimentares, respeitado o limite de 30% da verba líquida e preservada a subsistência digna do devedor e de sua família.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As despesas decorrentes da consulta ao sistema PREVJUD devem ser suportadas pela parte sucumbente, conforme previsto no art. 11, §§ 2º e 9º, do Provimento Conjunto nº 15/2010 do TJMG.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Dispositivos relevantes citados: CPC, art. 835, § 2º; Provimento Conjunto nº 15/2010 do TJMG, art. 11, §§ 2º e 9º.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Jurisprudência relevante citada: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TJMG, Agravo de Instrumento-Cv 1.0000.24.382135-2/001, Rel. Des. Newton Teixeira Carvalho, 13ª Câmara Cível, j. 29/11/2024, p. 03/12/2024.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TJMG, Agravo de Instrumento-Cv 1.0000.23.152782-1/001, Rel. Des. Joemilson Donizetti Lopes, 12ª Câmara Cível, j. 02/02/2024, p. 07/02/2024.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TJMG, IRDR nº 1.0182.16.001439-1/001, Tema 79, Rel. Des. Wanderley Paiva, j. 12/04/2019, p. 15/04/2019.</w:t>
      </w:r>
    </w:p>
    <w:p w:rsidR="00B02CAF" w:rsidRPr="00B02CAF" w:rsidRDefault="00B02CAF" w:rsidP="00B02CAF">
      <w:pPr>
        <w:spacing w:line="360" w:lineRule="auto"/>
        <w:ind w:left="2268"/>
        <w:rPr>
          <w:rFonts w:ascii="Calibri" w:hAnsi="Calibri" w:cs="Calibri"/>
          <w:sz w:val="20"/>
          <w:szCs w:val="20"/>
        </w:rPr>
      </w:pPr>
      <w:r w:rsidRPr="00B02CAF">
        <w:rPr>
          <w:rFonts w:ascii="Calibri" w:hAnsi="Calibri" w:cs="Calibri"/>
          <w:sz w:val="20"/>
          <w:szCs w:val="20"/>
        </w:rPr>
        <w:t>STJ, EREsp 1.874.222/DF, Rel. Min. Marco Buzzi, 2ª Seção, j. 28/10/2020, DJe 03/11/2020.  (TJMG -  Agravo de Instrumento-Cv  1.0000.24.182595-9/003, Relator(a): Des.(a) Sérgio André da Fonseca Xavier , 18ª CÂMARA CÍVEL, julgamento em 17/06/2025, publicação da súmula em 18/06/2025) (destaquei)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9A66A1">
        <w:rPr>
          <w:rFonts w:ascii="Calibri" w:hAnsi="Calibri" w:cs="Calibri"/>
          <w:noProof/>
          <w:sz w:val="24"/>
          <w:szCs w:val="22"/>
        </w:rPr>
        <w:t>22 de julho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7469" w:rsidRDefault="00947469" w:rsidP="00254007">
      <w:r>
        <w:separator/>
      </w:r>
    </w:p>
  </w:endnote>
  <w:endnote w:type="continuationSeparator" w:id="0">
    <w:p w:rsidR="00947469" w:rsidRDefault="00947469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9A66A1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9A66A1">
      <w:rPr>
        <w:rFonts w:ascii="Calibri" w:hAnsi="Calibri"/>
        <w:noProof/>
        <w:sz w:val="20"/>
        <w:szCs w:val="20"/>
      </w:rPr>
      <w:t>2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7469" w:rsidRDefault="00947469" w:rsidP="00254007">
      <w:r>
        <w:separator/>
      </w:r>
    </w:p>
  </w:footnote>
  <w:footnote w:type="continuationSeparator" w:id="0">
    <w:p w:rsidR="00947469" w:rsidRDefault="00947469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47469"/>
    <w:rsid w:val="009605EB"/>
    <w:rsid w:val="00995015"/>
    <w:rsid w:val="00997C25"/>
    <w:rsid w:val="009A372F"/>
    <w:rsid w:val="009A630E"/>
    <w:rsid w:val="009A66A1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46D4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14CD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5310DD1E-1E65-4061-8B06-5DAE9B022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1159</Words>
  <Characters>6262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2026-07-22T13:25:00Z</dcterms:created>
  <dcterms:modified xsi:type="dcterms:W3CDTF">2026-07-22T13:25:00Z</dcterms:modified>
</cp:coreProperties>
</file>