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653AE8" w:rsidRPr="00653AE8">
        <w:rPr>
          <w:rFonts w:ascii="Calibri" w:hAnsi="Calibri" w:cs="Calibri"/>
          <w:sz w:val="24"/>
          <w:szCs w:val="22"/>
        </w:rPr>
        <w:t>a expedição de carta precatória para fins de citação, nos termos do art. 237, I</w:t>
      </w:r>
      <w:r w:rsidR="00653AE8">
        <w:rPr>
          <w:rFonts w:ascii="Calibri" w:hAnsi="Calibri" w:cs="Calibri"/>
          <w:sz w:val="24"/>
          <w:szCs w:val="22"/>
        </w:rPr>
        <w:t>I</w:t>
      </w:r>
      <w:r w:rsidR="00653AE8" w:rsidRPr="00653AE8">
        <w:rPr>
          <w:rFonts w:ascii="Calibri" w:hAnsi="Calibri" w:cs="Calibri"/>
          <w:sz w:val="24"/>
          <w:szCs w:val="22"/>
        </w:rPr>
        <w:t>I, do CPC</w:t>
      </w:r>
      <w:r w:rsidR="00110776">
        <w:rPr>
          <w:rFonts w:ascii="Calibri" w:hAnsi="Calibri" w:cs="Calibri"/>
          <w:sz w:val="24"/>
          <w:szCs w:val="22"/>
        </w:rPr>
        <w:t>, no seguinte endereço:</w:t>
      </w:r>
    </w:p>
    <w:p w:rsidR="00110776" w:rsidRDefault="00110776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  <w:highlight w:val="yellow"/>
        </w:rPr>
        <w:t>(Campo editável no sistema - adicionar o novo endereço localizado)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204958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9E1" w:rsidRDefault="000419E1" w:rsidP="00254007">
      <w:r>
        <w:separator/>
      </w:r>
    </w:p>
  </w:endnote>
  <w:endnote w:type="continuationSeparator" w:id="0">
    <w:p w:rsidR="000419E1" w:rsidRDefault="000419E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20495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20495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9E1" w:rsidRDefault="000419E1" w:rsidP="00254007">
      <w:r>
        <w:separator/>
      </w:r>
    </w:p>
  </w:footnote>
  <w:footnote w:type="continuationSeparator" w:id="0">
    <w:p w:rsidR="000419E1" w:rsidRDefault="000419E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419E1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04958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12E86"/>
    <w:rsid w:val="00623043"/>
    <w:rsid w:val="00630CB4"/>
    <w:rsid w:val="00634573"/>
    <w:rsid w:val="00651999"/>
    <w:rsid w:val="00653AE8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9F8BE78-109E-4925-AFE6-6C07D4575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