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197317">
        <w:rPr>
          <w:rFonts w:ascii="Calibri" w:hAnsi="Calibri" w:cs="Calibri"/>
          <w:sz w:val="24"/>
          <w:szCs w:val="22"/>
        </w:rPr>
        <w:t>manifestar ciência da intimação retro</w:t>
      </w:r>
      <w:r w:rsidR="0077517E">
        <w:rPr>
          <w:rFonts w:ascii="Calibri" w:hAnsi="Calibri" w:cs="Calibri"/>
          <w:sz w:val="24"/>
          <w:szCs w:val="22"/>
        </w:rPr>
        <w:t xml:space="preserve">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183C65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B29" w:rsidRDefault="00AA5B29" w:rsidP="00254007">
      <w:r>
        <w:separator/>
      </w:r>
    </w:p>
  </w:endnote>
  <w:endnote w:type="continuationSeparator" w:id="0">
    <w:p w:rsidR="00AA5B29" w:rsidRDefault="00AA5B2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183C6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183C6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B29" w:rsidRDefault="00AA5B29" w:rsidP="00254007">
      <w:r>
        <w:separator/>
      </w:r>
    </w:p>
  </w:footnote>
  <w:footnote w:type="continuationSeparator" w:id="0">
    <w:p w:rsidR="00AA5B29" w:rsidRDefault="00AA5B2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3C65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C8571D6-230E-4AB4-A364-E08B7D0C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