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5C51FE" w:rsidRPr="005C51FE">
        <w:rPr>
          <w:rFonts w:ascii="Calibri" w:hAnsi="Calibri" w:cs="Calibri"/>
          <w:b/>
          <w:sz w:val="24"/>
          <w:szCs w:val="22"/>
        </w:rPr>
        <w:t xml:space="preserve">expedição de ofício </w:t>
      </w:r>
      <w:r w:rsidR="00912AAD" w:rsidRPr="00912AAD">
        <w:rPr>
          <w:rFonts w:ascii="Calibri" w:hAnsi="Calibri" w:cs="Calibri"/>
          <w:b/>
          <w:sz w:val="24"/>
          <w:szCs w:val="22"/>
        </w:rPr>
        <w:t>ao Ministério do Trabalho e Emprego</w:t>
      </w:r>
      <w:r w:rsidR="00912AAD">
        <w:rPr>
          <w:rFonts w:ascii="Calibri" w:hAnsi="Calibri" w:cs="Calibri"/>
          <w:b/>
          <w:sz w:val="24"/>
          <w:szCs w:val="22"/>
        </w:rPr>
        <w:t xml:space="preserve"> (MTE)</w:t>
      </w:r>
      <w:r w:rsidR="00912AAD" w:rsidRPr="00912AAD">
        <w:rPr>
          <w:rFonts w:ascii="Calibri" w:hAnsi="Calibri" w:cs="Calibri"/>
          <w:b/>
          <w:sz w:val="24"/>
          <w:szCs w:val="22"/>
        </w:rPr>
        <w:t xml:space="preserve"> e ao Instituto Nacional do Seguro Social</w:t>
      </w:r>
      <w:r w:rsidR="00912AAD">
        <w:rPr>
          <w:rFonts w:ascii="Calibri" w:hAnsi="Calibri" w:cs="Calibri"/>
          <w:b/>
          <w:sz w:val="24"/>
          <w:szCs w:val="22"/>
        </w:rPr>
        <w:t xml:space="preserve"> (INSS)</w:t>
      </w:r>
      <w:r w:rsidR="00912AAD" w:rsidRPr="00912AAD">
        <w:rPr>
          <w:rFonts w:ascii="Calibri" w:hAnsi="Calibri" w:cs="Calibri"/>
          <w:b/>
          <w:sz w:val="24"/>
          <w:szCs w:val="22"/>
        </w:rPr>
        <w:t xml:space="preserve"> </w:t>
      </w:r>
      <w:r w:rsidR="00912AAD" w:rsidRPr="00912AAD">
        <w:rPr>
          <w:rFonts w:ascii="Calibri" w:hAnsi="Calibri" w:cs="Calibri"/>
          <w:sz w:val="24"/>
          <w:szCs w:val="22"/>
        </w:rPr>
        <w:t>para que diga</w:t>
      </w:r>
      <w:r w:rsidR="00912AAD">
        <w:rPr>
          <w:rFonts w:ascii="Calibri" w:hAnsi="Calibri" w:cs="Calibri"/>
          <w:sz w:val="24"/>
          <w:szCs w:val="22"/>
        </w:rPr>
        <w:t>m</w:t>
      </w:r>
      <w:r w:rsidR="00912AAD" w:rsidRPr="00912AAD">
        <w:rPr>
          <w:rFonts w:ascii="Calibri" w:hAnsi="Calibri" w:cs="Calibri"/>
          <w:sz w:val="24"/>
          <w:szCs w:val="22"/>
        </w:rPr>
        <w:t xml:space="preserve"> </w:t>
      </w:r>
      <w:r w:rsidR="00912AAD">
        <w:rPr>
          <w:rFonts w:ascii="Calibri" w:hAnsi="Calibri" w:cs="Calibri"/>
          <w:sz w:val="24"/>
          <w:szCs w:val="22"/>
        </w:rPr>
        <w:t>sobre</w:t>
      </w:r>
      <w:r w:rsidR="00912AAD" w:rsidRPr="00912AAD">
        <w:rPr>
          <w:rFonts w:ascii="Calibri" w:hAnsi="Calibri" w:cs="Calibri"/>
          <w:sz w:val="24"/>
          <w:szCs w:val="22"/>
        </w:rPr>
        <w:t xml:space="preserve"> vínculo</w:t>
      </w:r>
      <w:r w:rsidR="00912AAD">
        <w:rPr>
          <w:rFonts w:ascii="Calibri" w:hAnsi="Calibri" w:cs="Calibri"/>
          <w:sz w:val="24"/>
          <w:szCs w:val="22"/>
        </w:rPr>
        <w:t>s</w:t>
      </w:r>
      <w:r w:rsidR="00912AAD" w:rsidRPr="00912AAD">
        <w:rPr>
          <w:rFonts w:ascii="Calibri" w:hAnsi="Calibri" w:cs="Calibri"/>
          <w:sz w:val="24"/>
          <w:szCs w:val="22"/>
        </w:rPr>
        <w:t xml:space="preserve"> empregatício</w:t>
      </w:r>
      <w:r w:rsidR="00912AAD">
        <w:rPr>
          <w:rFonts w:ascii="Calibri" w:hAnsi="Calibri" w:cs="Calibri"/>
          <w:sz w:val="24"/>
          <w:szCs w:val="22"/>
        </w:rPr>
        <w:t>s e/ou</w:t>
      </w:r>
      <w:r w:rsidR="00912AAD" w:rsidRPr="00912AAD">
        <w:rPr>
          <w:rFonts w:ascii="Calibri" w:hAnsi="Calibri" w:cs="Calibri"/>
          <w:sz w:val="24"/>
          <w:szCs w:val="22"/>
        </w:rPr>
        <w:t xml:space="preserve"> titular</w:t>
      </w:r>
      <w:r w:rsidR="00912AAD">
        <w:rPr>
          <w:rFonts w:ascii="Calibri" w:hAnsi="Calibri" w:cs="Calibri"/>
          <w:sz w:val="24"/>
          <w:szCs w:val="22"/>
        </w:rPr>
        <w:t>idade</w:t>
      </w:r>
      <w:r w:rsidR="00912AAD" w:rsidRPr="00912AAD">
        <w:rPr>
          <w:rFonts w:ascii="Calibri" w:hAnsi="Calibri" w:cs="Calibri"/>
          <w:sz w:val="24"/>
          <w:szCs w:val="22"/>
        </w:rPr>
        <w:t xml:space="preserve"> de benefício previdenciário</w:t>
      </w:r>
      <w:r w:rsidR="005C51FE" w:rsidRPr="00912AAD">
        <w:rPr>
          <w:rFonts w:ascii="Calibri" w:hAnsi="Calibri" w:cs="Calibri"/>
          <w:sz w:val="24"/>
          <w:szCs w:val="22"/>
        </w:rPr>
        <w:t>.</w:t>
      </w:r>
    </w:p>
    <w:p w:rsidR="00912AAD" w:rsidRDefault="00912AAD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>Para desde já demonstrar a legalidade do pedido e da necessidade do seu deferimento, a parte Exequente informa que, através de evidência empírica, a expedição do ofício para o Ministério Público do Trabalho e para o INSS, em busca de vínculos empregatícios e uma futura penhora salarial tem sido grande aliado para quitação do débito exequendo.</w:t>
      </w: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>Somente a título informativo, pontua-se que tal posicionamento já vinha sendo há muito adotado por algumas Turmas do c. Superior Trib</w:t>
      </w:r>
      <w:r>
        <w:rPr>
          <w:rFonts w:ascii="Calibri" w:hAnsi="Calibri" w:cs="Calibri"/>
          <w:sz w:val="24"/>
          <w:szCs w:val="22"/>
        </w:rPr>
        <w:t>unal de Justiça, assim como pelos Tribunais</w:t>
      </w:r>
      <w:r w:rsidRPr="00912AAD">
        <w:rPr>
          <w:rFonts w:ascii="Calibri" w:hAnsi="Calibri" w:cs="Calibri"/>
          <w:sz w:val="24"/>
          <w:szCs w:val="22"/>
        </w:rPr>
        <w:t>, à luz da exemplificativa ementa abaixo:</w:t>
      </w:r>
    </w:p>
    <w:p w:rsid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912AAD">
        <w:rPr>
          <w:rFonts w:ascii="Calibri" w:hAnsi="Calibri" w:cs="Calibri"/>
          <w:sz w:val="20"/>
          <w:szCs w:val="20"/>
        </w:rPr>
        <w:t xml:space="preserve">AGRAVO DE INSTRUMENTO. PENHORA. SALÁRIO. IMPENHORABILIDADE ABSOLUTA. RELATIVIZAÇÃO. ARTIGO 833, INCISO IV, DO CÓDIGO DE PROCESSO </w:t>
      </w:r>
      <w:r w:rsidRPr="00912AAD">
        <w:rPr>
          <w:rFonts w:ascii="Calibri" w:hAnsi="Calibri" w:cs="Calibri"/>
          <w:sz w:val="20"/>
          <w:szCs w:val="20"/>
        </w:rPr>
        <w:lastRenderedPageBreak/>
        <w:t>CIVIL. INTERPRETAÇÃO AMPLIATIVA. POSSIBILIDADE. INCLUSÃO DO DEVEDOR NO CADASTRO DE INADIMPLENTES. SERASAJUD. RECURSO CONHECIDO E PROVIDO. 1. O art. 833, inciso IV e parágrafo 2º, do Código de Processo Civil dispõe sobre a impenhorabilidade do salário, somente reputando válida a penhora quando as quantias excederem a 50 (cinquenta) salários-mínimos mensais e para satisfazer débito referente à prestação alimentícia. 2. O Superior Tribunal de Justiça e a Oitava Turma Cível do Tribunal de Justiça do Distrito Federal têm concedido interpretação ampliativa à referida norma da impenhorabilidade, aceitando retenção de proventos e salários, de forma razoável, a fim de não comprometer a sobrevivência do devedor. Ressalva pessoal do Relator. 3. A penhora de salário deve ser feita de modo parcimonioso, a fim de não comprometer a digna subsistência do devedor, observados os rendimentos mensais e os seus gastos. 4. A inovação trazida no Código de Processo Civil, com a possibilidade de inclusão do nome do devedor no cadastro de inadimplentes, imprime a chamada execução coercitiva ou indireta, que é aquela em que o Estado não atua diretamente na execução dos bens do devedor, mas usa mecanismos de convencimento para que o próprio devedor venha a quitar as obrigações inadimplidas.  5. Havendo requerimento do credor e possibilidade de utilização do sistema pelo Juízo originário, não há razões para rejeitar o pedido, sob pena de violação à Celeridade Processual e ao Princípio da Cooperação.  6. Agravo de Instrumento conhecido e provido. (Acórdão 1769131, 07330786920238070000, Relator: EUSTÁQUIO DE CASTRO, 8ª Turma Cível, data de julgamento: 10/10/2023, publicado no DJE: 20/10/2023. Pág.: Sem Página Cadastrada.)</w:t>
      </w:r>
    </w:p>
    <w:p w:rsid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 xml:space="preserve">Diante o exposto, requer a expedição de ofício ao Ministério do Trabalho e Emprego e ao Instituto Nacional do Seguro Social para que diga </w:t>
      </w:r>
      <w:r>
        <w:rPr>
          <w:rFonts w:ascii="Calibri" w:hAnsi="Calibri" w:cs="Calibri"/>
          <w:sz w:val="24"/>
          <w:szCs w:val="22"/>
        </w:rPr>
        <w:t>sobre a existência de</w:t>
      </w:r>
      <w:r w:rsidRPr="00912AAD">
        <w:rPr>
          <w:rFonts w:ascii="Calibri" w:hAnsi="Calibri" w:cs="Calibri"/>
          <w:sz w:val="24"/>
          <w:szCs w:val="22"/>
        </w:rPr>
        <w:t xml:space="preserve"> vínculos empregatícios </w:t>
      </w:r>
      <w:r>
        <w:rPr>
          <w:rFonts w:ascii="Calibri" w:hAnsi="Calibri" w:cs="Calibri"/>
          <w:sz w:val="24"/>
          <w:szCs w:val="22"/>
        </w:rPr>
        <w:t xml:space="preserve">e/ou titularidade </w:t>
      </w:r>
      <w:r w:rsidRPr="00912AAD">
        <w:rPr>
          <w:rFonts w:ascii="Calibri" w:hAnsi="Calibri" w:cs="Calibri"/>
          <w:sz w:val="24"/>
          <w:szCs w:val="22"/>
        </w:rPr>
        <w:t>de benefícios previdenciários.</w:t>
      </w: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 xml:space="preserve">Subsidiariamente, requer, ainda, seja concedida força de ofício à decisão para que a própria </w:t>
      </w:r>
      <w:r>
        <w:rPr>
          <w:rFonts w:ascii="Calibri" w:hAnsi="Calibri" w:cs="Calibri"/>
          <w:sz w:val="24"/>
          <w:szCs w:val="22"/>
        </w:rPr>
        <w:t xml:space="preserve">parte </w:t>
      </w:r>
      <w:r w:rsidRPr="00912AAD">
        <w:rPr>
          <w:rFonts w:ascii="Calibri" w:hAnsi="Calibri" w:cs="Calibri"/>
          <w:sz w:val="24"/>
          <w:szCs w:val="22"/>
        </w:rPr>
        <w:t>Exequente possa oficiar as Instituições para se obter as informações pertinentes aqui requeridas, objetivando cooperar com o poder judiciário e garantir celeridade aos atos (art.6º, do CPC).</w:t>
      </w:r>
    </w:p>
    <w:p w:rsidR="006F1542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lastRenderedPageBreak/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2643D2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022" w:rsidRDefault="00F72022" w:rsidP="00254007">
      <w:r>
        <w:separator/>
      </w:r>
    </w:p>
  </w:endnote>
  <w:endnote w:type="continuationSeparator" w:id="0">
    <w:p w:rsidR="00F72022" w:rsidRDefault="00F72022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2643D2">
      <w:rPr>
        <w:rFonts w:ascii="Calibri" w:hAnsi="Calibri"/>
        <w:noProof/>
        <w:sz w:val="20"/>
        <w:szCs w:val="20"/>
      </w:rPr>
      <w:t>3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2643D2">
      <w:rPr>
        <w:rFonts w:ascii="Calibri" w:hAnsi="Calibri"/>
        <w:noProof/>
        <w:sz w:val="20"/>
        <w:szCs w:val="20"/>
      </w:rPr>
      <w:t>3</w:t>
    </w:r>
    <w:r w:rsidRPr="007415E6">
      <w:rPr>
        <w:rFonts w:ascii="Calibri" w:hAnsi="Calibri"/>
        <w:sz w:val="20"/>
        <w:szCs w:val="20"/>
      </w:rPr>
      <w:fldChar w:fldCharType="end"/>
    </w:r>
  </w:p>
  <w:p w:rsidR="002C585E" w:rsidRDefault="002C58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022" w:rsidRDefault="00F72022" w:rsidP="00254007">
      <w:r>
        <w:separator/>
      </w:r>
    </w:p>
  </w:footnote>
  <w:footnote w:type="continuationSeparator" w:id="0">
    <w:p w:rsidR="00F72022" w:rsidRDefault="00F72022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2C585E" w:rsidRDefault="002C58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43D2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72022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4CF639DA-7960-4596-8DAE-7D5ADD1AF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662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2026-05-25T13:42:00Z</dcterms:created>
  <dcterms:modified xsi:type="dcterms:W3CDTF">2026-05-25T13:42:00Z</dcterms:modified>
</cp:coreProperties>
</file>