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8076A3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>
        <w:rPr>
          <w:rFonts w:ascii="Calibri" w:hAnsi="Calibri" w:cs="Calibri"/>
          <w:sz w:val="24"/>
          <w:szCs w:val="22"/>
        </w:rPr>
        <w:t xml:space="preserve"> </w:t>
      </w:r>
      <w:r w:rsidR="00CA70C8">
        <w:rPr>
          <w:rFonts w:ascii="Calibri" w:hAnsi="Calibri" w:cs="Calibri"/>
          <w:sz w:val="24"/>
          <w:szCs w:val="22"/>
        </w:rPr>
        <w:t>o</w:t>
      </w:r>
      <w:r w:rsidR="00CA70C8" w:rsidRPr="00CA70C8">
        <w:rPr>
          <w:rFonts w:ascii="Calibri" w:hAnsi="Calibri" w:cs="Calibri"/>
          <w:sz w:val="24"/>
          <w:szCs w:val="22"/>
        </w:rPr>
        <w:t xml:space="preserve"> bloqueio de veículos via </w:t>
      </w:r>
      <w:r w:rsidR="00CA70C8" w:rsidRPr="00CA70C8">
        <w:rPr>
          <w:rFonts w:ascii="Calibri" w:hAnsi="Calibri" w:cs="Calibri"/>
          <w:b/>
          <w:sz w:val="24"/>
          <w:szCs w:val="22"/>
        </w:rPr>
        <w:t>RENAJUD</w:t>
      </w:r>
      <w:r w:rsidR="00CA70C8" w:rsidRPr="00CA70C8">
        <w:rPr>
          <w:rFonts w:ascii="Calibri" w:hAnsi="Calibri" w:cs="Calibri"/>
          <w:sz w:val="24"/>
          <w:szCs w:val="22"/>
        </w:rPr>
        <w:t xml:space="preserve">, em nome </w:t>
      </w:r>
      <w:r w:rsidR="00CA70C8"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="00CA70C8">
        <w:rPr>
          <w:rFonts w:ascii="Calibri" w:hAnsi="Calibri" w:cs="Calibri"/>
          <w:sz w:val="24"/>
          <w:szCs w:val="22"/>
        </w:rPr>
        <w:t xml:space="preserve"> </w:t>
      </w:r>
      <w:r w:rsidR="00CA70C8"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 w:rsidR="00CA70C8">
        <w:rPr>
          <w:rFonts w:ascii="Calibri" w:hAnsi="Calibri" w:cs="Calibri"/>
          <w:sz w:val="24"/>
          <w:szCs w:val="22"/>
          <w:highlight w:val="yellow"/>
        </w:rPr>
        <w:t>E</w:t>
      </w:r>
      <w:r w:rsidR="00CA70C8"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 w:rsidR="00CA70C8" w:rsidRPr="00CA70C8">
        <w:rPr>
          <w:rFonts w:ascii="Calibri" w:hAnsi="Calibri" w:cs="Calibri"/>
          <w:sz w:val="24"/>
          <w:szCs w:val="22"/>
        </w:rPr>
        <w:t>, com imposição de restrição de transferência e de circulação (“restrição total”) para impedir a transferência de propriedade e a realização de novo licenciamento, assim como para autorizar o recolhimento dos veículos a depósito pela autoridade competente, fazendo-se constar a descrição completa dos mesmos como ano, modelo e chassi.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6A73B8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7DFD" w:rsidRDefault="000D7DFD" w:rsidP="00254007">
      <w:r>
        <w:separator/>
      </w:r>
    </w:p>
  </w:endnote>
  <w:endnote w:type="continuationSeparator" w:id="0">
    <w:p w:rsidR="000D7DFD" w:rsidRDefault="000D7DFD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6A73B8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6A73B8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7DFD" w:rsidRDefault="000D7DFD" w:rsidP="00254007">
      <w:r>
        <w:separator/>
      </w:r>
    </w:p>
  </w:footnote>
  <w:footnote w:type="continuationSeparator" w:id="0">
    <w:p w:rsidR="000D7DFD" w:rsidRDefault="000D7DFD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D7DFD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A73B8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2726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076A3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6A5F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C25A8246-F9A6-4043-82DE-A87E0B23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2026-05-25T13:42:00Z</dcterms:created>
  <dcterms:modified xsi:type="dcterms:W3CDTF">2026-05-25T13:42:00Z</dcterms:modified>
</cp:coreProperties>
</file>