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5C51FE" w:rsidRPr="005C51FE">
        <w:rPr>
          <w:rFonts w:ascii="Calibri" w:hAnsi="Calibri" w:cs="Calibri"/>
          <w:b/>
          <w:sz w:val="24"/>
          <w:szCs w:val="22"/>
        </w:rPr>
        <w:t>expedição de ofício ao Banco Central do Brasil, para que efetue pesquisa no Cadastro de Clientes do Sistema Financeiro Nacional (CCS)</w:t>
      </w:r>
      <w:r w:rsidR="005C51FE" w:rsidRPr="005C51FE">
        <w:rPr>
          <w:rFonts w:ascii="Calibri" w:hAnsi="Calibri" w:cs="Calibri"/>
          <w:sz w:val="24"/>
          <w:szCs w:val="22"/>
        </w:rPr>
        <w:t>, a fim de comunicar exclusivamente às Instituições Finance</w:t>
      </w:r>
      <w:r w:rsidR="006F1542">
        <w:rPr>
          <w:rFonts w:ascii="Calibri" w:hAnsi="Calibri" w:cs="Calibri"/>
          <w:sz w:val="24"/>
          <w:szCs w:val="22"/>
        </w:rPr>
        <w:t>iras que</w:t>
      </w:r>
      <w:r w:rsidR="005C51FE" w:rsidRPr="005C51FE">
        <w:rPr>
          <w:rFonts w:ascii="Calibri" w:hAnsi="Calibri" w:cs="Calibri"/>
          <w:sz w:val="24"/>
          <w:szCs w:val="22"/>
        </w:rPr>
        <w:t xml:space="preserve"> tem ou tivera relacionamento (inclusive nos casos em que o investigado apareça como co-titular, representante, responsável ou procurador) no período do afastamento do sigilo bancário, acelerando, assim, a obtenção dos dados junto a tais entidades.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Default="006F1542" w:rsidP="00511C16">
      <w:pPr>
        <w:spacing w:line="360" w:lineRule="auto"/>
        <w:rPr>
          <w:rFonts w:ascii="Calibri" w:hAnsi="Calibri" w:cs="Calibri"/>
          <w:sz w:val="24"/>
          <w:szCs w:val="22"/>
        </w:rPr>
      </w:pPr>
      <w:r w:rsidRPr="006F1542">
        <w:rPr>
          <w:rFonts w:ascii="Calibri" w:hAnsi="Calibri" w:cs="Calibri"/>
          <w:sz w:val="24"/>
          <w:szCs w:val="22"/>
        </w:rPr>
        <w:t>Salienta-se que a pesquisa via CCS é medida criada a fim de auxiliar os credores, vejamos</w:t>
      </w:r>
      <w:r>
        <w:rPr>
          <w:rFonts w:ascii="Calibri" w:hAnsi="Calibri" w:cs="Calibri"/>
          <w:sz w:val="24"/>
          <w:szCs w:val="22"/>
        </w:rPr>
        <w:t xml:space="preserve"> a jurisprudência</w:t>
      </w:r>
      <w:r w:rsidRPr="006F1542">
        <w:rPr>
          <w:rFonts w:ascii="Calibri" w:hAnsi="Calibri" w:cs="Calibri"/>
          <w:sz w:val="24"/>
          <w:szCs w:val="22"/>
        </w:rPr>
        <w:t>: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Pr="006F1542" w:rsidRDefault="006F1542" w:rsidP="006F1542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6F1542">
        <w:rPr>
          <w:rFonts w:ascii="Calibri" w:hAnsi="Calibri" w:cs="Calibri"/>
          <w:sz w:val="20"/>
          <w:szCs w:val="20"/>
        </w:rPr>
        <w:t xml:space="preserve">PODER JUDICIÁRIO Tribunal de Justiça do Estado de Goiás Gabinete do Desembargador William Costa Mello EMENTA: AGRAVO DE INSTRUMENTO. AÇÃO DE EXECUÇÃO POR QUANTIA CERTA. CENTRAL NACIONAL DE INDISPONIBILIDADE DE BENS (CNIB). DECRETAÇÃO DE INDISPONIBILIDADE. POSSIBILIDADE. DISTINGUISHING DA SÚMULA 77/TJGO. REQUISIÇÃO DE </w:t>
      </w:r>
      <w:r w:rsidRPr="006F1542">
        <w:rPr>
          <w:rFonts w:ascii="Calibri" w:hAnsi="Calibri" w:cs="Calibri"/>
          <w:sz w:val="20"/>
          <w:szCs w:val="20"/>
        </w:rPr>
        <w:lastRenderedPageBreak/>
        <w:t>INFORMAÇÕES. CADASTRO DE CLIENTES DO SISTEMA FINANCEIRO NACIONAL (CCS-BACEN). POSSIBILIDADE. DECISÃO REFORMADA.</w:t>
      </w:r>
      <w:r>
        <w:rPr>
          <w:rFonts w:ascii="Calibri" w:hAnsi="Calibri" w:cs="Calibri"/>
          <w:sz w:val="20"/>
          <w:szCs w:val="20"/>
        </w:rPr>
        <w:t xml:space="preserve"> 1. O CNJ e</w:t>
      </w:r>
      <w:r w:rsidRPr="006F1542">
        <w:rPr>
          <w:rFonts w:ascii="Calibri" w:hAnsi="Calibri" w:cs="Calibri"/>
          <w:sz w:val="20"/>
          <w:szCs w:val="20"/>
        </w:rPr>
        <w:t>ditou o Provimento nº 39/2014, dispondo sobre a instituição e funcionamento da CNIB, criada com a finalidade de dar eficácia e efetividade às decisões judiciais, recepcionando as comunicações da aludida indisponibilidade de bens imóveis em todo o território nacional. 2. Considerando que, no caso, a ação tramita há mais de nove anos sem que tenha sido satisfeita a dívida e, já tendo sido utilizados diversos sistemas eletrônicos na busca de bens passíveis de penhora, é o caso de se deferir a medida pretendida pelo exequente, a fim de decretar a indisponibilidade de bens imóveis em nome do executado. 3. A previsão da Súmula nº 77 do TJGO, de que a decretação de indisponibilidade de bens, por meio da CNIB não se presta à pesquisa de existência de bens do devedor em execução, não tem aplicabilidade à presente demanda, pois o agravante pleiteia a decretação de indisponibilidade pelo referido sistema e não uma simples pesquisa de b</w:t>
      </w:r>
      <w:r>
        <w:rPr>
          <w:rFonts w:ascii="Calibri" w:hAnsi="Calibri" w:cs="Calibri"/>
          <w:sz w:val="20"/>
          <w:szCs w:val="20"/>
        </w:rPr>
        <w:t>ens.4. O CCS-</w:t>
      </w:r>
      <w:r w:rsidRPr="006F1542">
        <w:rPr>
          <w:rFonts w:ascii="Calibri" w:hAnsi="Calibri" w:cs="Calibri"/>
          <w:sz w:val="20"/>
          <w:szCs w:val="20"/>
        </w:rPr>
        <w:t>Bacen, é um sistema destinado ao registro de informações relativas à correntistas e clientes de instituições financeiras, bem como a seus representantes e consulta proporciona averiguar a movimentação de valores pelo devedor em nome de terceiros.5. A requisição de informações às repartições públicas e privadas constitui medida cabível quando a parte demonstra ter esgotado todos os meios ao seu alcance para localizar bens de propriedade dos devedores. 6. AGRAVO DE INSTRUMENTO CONHECIDO E PROVIDO. (TJGO, PROCESSO CÍVEL E DO TRABALHO -&gt; Recursos -&gt; Agravos -&gt; Agravo de Instrumento 5076481-35.2024.8.09.0006, Rel. Des(a). RICARDO SILVEIRA DOURADO, 1ª Câmara Cível, julgado em 06/05/2024, DJe  de 06/05/2024)</w:t>
      </w:r>
    </w:p>
    <w:p w:rsidR="006F1542" w:rsidRPr="006F1542" w:rsidRDefault="006F1542" w:rsidP="006F1542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B02CAF" w:rsidRPr="006F1542" w:rsidRDefault="006F1542" w:rsidP="006F1542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6F1542">
        <w:rPr>
          <w:rFonts w:ascii="Calibri" w:hAnsi="Calibri" w:cs="Calibri"/>
          <w:sz w:val="20"/>
          <w:szCs w:val="20"/>
        </w:rPr>
        <w:t>AGRAVO DE INSTRUMENTO Nº 5130577-18.2024.</w:t>
      </w:r>
      <w:r>
        <w:rPr>
          <w:rFonts w:ascii="Calibri" w:hAnsi="Calibri" w:cs="Calibri"/>
          <w:sz w:val="20"/>
          <w:szCs w:val="20"/>
        </w:rPr>
        <w:t>8.09.0000 COMARCA: PONTALINA RELATOR</w:t>
      </w:r>
      <w:r w:rsidRPr="006F1542">
        <w:rPr>
          <w:rFonts w:ascii="Calibri" w:hAnsi="Calibri" w:cs="Calibri"/>
          <w:sz w:val="20"/>
          <w:szCs w:val="20"/>
        </w:rPr>
        <w:t>: DESEMBARGADOR A</w:t>
      </w:r>
      <w:r>
        <w:rPr>
          <w:rFonts w:ascii="Calibri" w:hAnsi="Calibri" w:cs="Calibri"/>
          <w:sz w:val="20"/>
          <w:szCs w:val="20"/>
        </w:rPr>
        <w:t>LTAIR GUERRA DA COSTA AGRAVANTE: BANCO BRADESCO S/A AGRAVADA</w:t>
      </w:r>
      <w:r w:rsidRPr="006F1542">
        <w:rPr>
          <w:rFonts w:ascii="Calibri" w:hAnsi="Calibri" w:cs="Calibri"/>
          <w:sz w:val="20"/>
          <w:szCs w:val="20"/>
        </w:rPr>
        <w:t xml:space="preserve">: M </w:t>
      </w:r>
      <w:r>
        <w:rPr>
          <w:rFonts w:ascii="Calibri" w:hAnsi="Calibri" w:cs="Calibri"/>
          <w:sz w:val="20"/>
          <w:szCs w:val="20"/>
        </w:rPr>
        <w:t xml:space="preserve">FERREIRA PORTILHO &amp; CIA LTDA. </w:t>
      </w:r>
      <w:r w:rsidRPr="006F1542">
        <w:rPr>
          <w:rFonts w:ascii="Calibri" w:hAnsi="Calibri" w:cs="Calibri"/>
          <w:sz w:val="20"/>
          <w:szCs w:val="20"/>
        </w:rPr>
        <w:t>EMENTA: AGRAVO DE INSTRUMENTO. AÇÃO DE COBRANÇA. FASE DE CUMPRIMENTO DE SENTENÇA. DIFICULDADE EM SATISFAZER O CRÉDITO. TENTATIVAS INFRUTÍFERAS DE LOCALIZAÇÃO DE BENS. EXPEDIÇÃO DE OFÍCIO À CENSEC E AO CCS-BACEN. POSSIBILIDA</w:t>
      </w:r>
      <w:r>
        <w:rPr>
          <w:rFonts w:ascii="Calibri" w:hAnsi="Calibri" w:cs="Calibri"/>
          <w:sz w:val="20"/>
          <w:szCs w:val="20"/>
        </w:rPr>
        <w:t>DE. 1. A instituição da CENSEC -</w:t>
      </w:r>
      <w:r w:rsidRPr="006F1542">
        <w:rPr>
          <w:rFonts w:ascii="Calibri" w:hAnsi="Calibri" w:cs="Calibri"/>
          <w:sz w:val="20"/>
          <w:szCs w:val="20"/>
        </w:rPr>
        <w:t xml:space="preserve"> Central Notarial de Servi</w:t>
      </w:r>
      <w:r>
        <w:rPr>
          <w:rFonts w:ascii="Calibri" w:hAnsi="Calibri" w:cs="Calibri"/>
          <w:sz w:val="20"/>
          <w:szCs w:val="20"/>
        </w:rPr>
        <w:t>ços Eletrônicos Compartilhados</w:t>
      </w:r>
      <w:r w:rsidRPr="006F1542">
        <w:rPr>
          <w:rFonts w:ascii="Calibri" w:hAnsi="Calibri" w:cs="Calibri"/>
          <w:sz w:val="20"/>
          <w:szCs w:val="20"/>
        </w:rPr>
        <w:t xml:space="preserve">, por meio do Provimento n.º 18 do Conselho Nacional de Justiça, considerou a relevância jurídica e social da disponibilização de meios eletrônicos que localizassem escrituras públicas, visando à oportuna obtenção de certidões ou outras informações, tanto pelos </w:t>
      </w:r>
      <w:r w:rsidRPr="006F1542">
        <w:rPr>
          <w:rFonts w:ascii="Calibri" w:hAnsi="Calibri" w:cs="Calibri"/>
          <w:sz w:val="20"/>
          <w:szCs w:val="20"/>
        </w:rPr>
        <w:lastRenderedPageBreak/>
        <w:t xml:space="preserve">órgãos públicos como pelas autoridades e usuários do serviço de notas, e seu acesso depende da intervenção do Poder Judiciário, nos termos dos arts. 10 e 19 do supramencionado Provimento. Precedentes desta Corte. 2. Consoante entendimento do Superior Tribunal de Justiça, não há impedimento </w:t>
      </w:r>
      <w:r>
        <w:rPr>
          <w:rFonts w:ascii="Calibri" w:hAnsi="Calibri" w:cs="Calibri"/>
          <w:sz w:val="20"/>
          <w:szCs w:val="20"/>
        </w:rPr>
        <w:t>à consulta ao CCS-Bacen -</w:t>
      </w:r>
      <w:r w:rsidRPr="006F1542">
        <w:rPr>
          <w:rFonts w:ascii="Calibri" w:hAnsi="Calibri" w:cs="Calibri"/>
          <w:sz w:val="20"/>
          <w:szCs w:val="20"/>
        </w:rPr>
        <w:t xml:space="preserve"> Cadastro de Clientes </w:t>
      </w:r>
      <w:r>
        <w:rPr>
          <w:rFonts w:ascii="Calibri" w:hAnsi="Calibri" w:cs="Calibri"/>
          <w:sz w:val="20"/>
          <w:szCs w:val="20"/>
        </w:rPr>
        <w:t>do Sistema Financeiro Nacional</w:t>
      </w:r>
      <w:r w:rsidRPr="006F1542">
        <w:rPr>
          <w:rFonts w:ascii="Calibri" w:hAnsi="Calibri" w:cs="Calibri"/>
          <w:sz w:val="20"/>
          <w:szCs w:val="20"/>
        </w:rPr>
        <w:t xml:space="preserve"> nos procedimentos cíveis, devendo ser considerado como mais um mecanismo à disposição do credor na busca para satisfazer o crédito do exequente. 3. Se a parte credora encontra dificuldades na localização de bens da devedora e ao Poder Judiciário é conferida a prerrogativa de acessar tais sistemas, além de outros, a negativa de suas utilizações viola as garantias processuais de celeridade, economia e efetividade da jurisdição. AGRAVO DE INSTRUMENTO CONHECIDO E PROVIDO. (TJGO, PROCESSO CÍVEL E DO TRABALHO -&gt; Recursos -&gt; Agravos -&gt; Agravo de Instrumento 5130577-18.2024.8.09.0000, Rel. Des(a). Altair Guerra da Costa, 1ª Câmara Cível, julgado em 15/04/2024, DJe  de 15/04/2024)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6F1542">
        <w:rPr>
          <w:rFonts w:ascii="Calibri" w:hAnsi="Calibri" w:cs="Calibri"/>
          <w:sz w:val="24"/>
          <w:szCs w:val="22"/>
        </w:rPr>
        <w:t>No mesmo sentindo é o entendimento do Superior Tribunal de Justiça, o qual reafirmou que, em procedimentos cíveis, é possível a consulta ao Cadastro de Clientes do Sistema Financeiro Nacional do Banco Central do Brasil (CCS-Bacen), pois a pesquisa é apenas mais um mecanismo à disposição do credor na tentativa de satisfazer o seu crédito, vejamos:</w:t>
      </w: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D5EDE" w:rsidRPr="002D5EDE" w:rsidRDefault="006F1542" w:rsidP="002D5EDE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6F1542">
        <w:rPr>
          <w:rFonts w:ascii="Calibri" w:hAnsi="Calibri" w:cs="Calibri"/>
          <w:sz w:val="20"/>
          <w:szCs w:val="20"/>
        </w:rPr>
        <w:t>RECURSO ESPECIAL Nº 1.464.71</w:t>
      </w:r>
      <w:r>
        <w:rPr>
          <w:rFonts w:ascii="Calibri" w:hAnsi="Calibri" w:cs="Calibri"/>
          <w:sz w:val="20"/>
          <w:szCs w:val="20"/>
        </w:rPr>
        <w:t>4 - PR (2014/0159679-4) RELATOR</w:t>
      </w:r>
      <w:r w:rsidRPr="006F1542">
        <w:rPr>
          <w:rFonts w:ascii="Calibri" w:hAnsi="Calibri" w:cs="Calibri"/>
          <w:sz w:val="20"/>
          <w:szCs w:val="20"/>
        </w:rPr>
        <w:t>: MINISTRO NAPOL</w:t>
      </w:r>
      <w:r>
        <w:rPr>
          <w:rFonts w:ascii="Calibri" w:hAnsi="Calibri" w:cs="Calibri"/>
          <w:sz w:val="20"/>
          <w:szCs w:val="20"/>
        </w:rPr>
        <w:t>EÃO NUNES MAIA FILHOR. P/ACÓRDÃO</w:t>
      </w:r>
      <w:r w:rsidRPr="006F1542">
        <w:rPr>
          <w:rFonts w:ascii="Calibri" w:hAnsi="Calibri" w:cs="Calibri"/>
          <w:sz w:val="20"/>
          <w:szCs w:val="20"/>
        </w:rPr>
        <w:t>: MINISTRO BENEDITO GONÇALVES RECORRENTE : INSTITUTO BRASILEIRO DO MEIO AMBIENTE E DOS RECURSOS NATURA</w:t>
      </w:r>
      <w:r>
        <w:rPr>
          <w:rFonts w:ascii="Calibri" w:hAnsi="Calibri" w:cs="Calibri"/>
          <w:sz w:val="20"/>
          <w:szCs w:val="20"/>
        </w:rPr>
        <w:t>IS RENOVÁVEIS - IBAMA REPR. POR</w:t>
      </w:r>
      <w:r w:rsidRPr="006F1542">
        <w:rPr>
          <w:rFonts w:ascii="Calibri" w:hAnsi="Calibri" w:cs="Calibri"/>
          <w:sz w:val="20"/>
          <w:szCs w:val="20"/>
        </w:rPr>
        <w:t>: PROCU</w:t>
      </w:r>
      <w:r>
        <w:rPr>
          <w:rFonts w:ascii="Calibri" w:hAnsi="Calibri" w:cs="Calibri"/>
          <w:sz w:val="20"/>
          <w:szCs w:val="20"/>
        </w:rPr>
        <w:t>RADORIA-GERAL FEDERAL RECORRIDO: J DOS S ADVOGADO</w:t>
      </w:r>
      <w:r w:rsidRPr="006F1542">
        <w:rPr>
          <w:rFonts w:ascii="Calibri" w:hAnsi="Calibri" w:cs="Calibri"/>
          <w:sz w:val="20"/>
          <w:szCs w:val="20"/>
        </w:rPr>
        <w:t xml:space="preserve">: SEM REPRESENTAÇÃO NOS AUTOS - SE000000MEMENTA RECURSO ESPECIAL. EXECUÇÃO FISCAL. BUSCA POR BENS PENHORÁVEIS A SEREM CONSTRITOS. REQUERIMENTO DO DEVEDOR PARA ACESSO A CADASTRO DE NATUREZA ADMINISTRATIVA. CADASTRO DE CLIENTES DO SISTEMA FINANCEIRO NACIONAL (CCS). LEGITIMIDADE DO PLEITO AO JUÍZO DA EXECUÇÃO FISCAL. 1. O Cadastro de Clientes do Sistema Financeiro Nacional (CCS) é um sistema de informações de natureza cadastral que tem por objeto os relacionamentos mantidos pelas instituições participantes com os seus correntistas ou clientes. 2. Revela-se legítimo ao credor, como forma de encontrar bens que sejam capazes de satisfazer a execução de crédito público, </w:t>
      </w:r>
      <w:r w:rsidRPr="006F1542">
        <w:rPr>
          <w:rFonts w:ascii="Calibri" w:hAnsi="Calibri" w:cs="Calibri"/>
          <w:sz w:val="20"/>
          <w:szCs w:val="20"/>
        </w:rPr>
        <w:lastRenderedPageBreak/>
        <w:t>o requerimento ao juízo da execução fiscal para acesso ao Cadastro de Clientes do Sistema Financeiro Nacional (CCS). 3. Recurso especial provido.</w:t>
      </w:r>
    </w:p>
    <w:p w:rsidR="002D5EDE" w:rsidRDefault="002D5EDE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6F1542">
        <w:rPr>
          <w:rFonts w:ascii="Calibri" w:hAnsi="Calibri" w:cs="Calibri"/>
          <w:sz w:val="24"/>
          <w:szCs w:val="22"/>
        </w:rPr>
        <w:t>Diante do exposto, requer ao ilustre juízo a consulta ao Cadastro de Clientes do Sistema Financeiro Nacional do Banco Central do Brasil (CCS-Bacen).</w:t>
      </w: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6C5158">
        <w:rPr>
          <w:rFonts w:ascii="Calibri" w:hAnsi="Calibri" w:cs="Calibri"/>
          <w:noProof/>
          <w:sz w:val="24"/>
          <w:szCs w:val="22"/>
        </w:rPr>
        <w:t>25 de maio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4346" w:rsidRDefault="00A44346" w:rsidP="00254007">
      <w:r>
        <w:separator/>
      </w:r>
    </w:p>
  </w:endnote>
  <w:endnote w:type="continuationSeparator" w:id="0">
    <w:p w:rsidR="00A44346" w:rsidRDefault="00A44346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1FE" w:rsidRDefault="005C51FE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6C5158">
      <w:rPr>
        <w:rFonts w:ascii="Calibri" w:hAnsi="Calibri"/>
        <w:noProof/>
        <w:sz w:val="20"/>
        <w:szCs w:val="20"/>
      </w:rPr>
      <w:t>4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6C5158">
      <w:rPr>
        <w:rFonts w:ascii="Calibri" w:hAnsi="Calibri"/>
        <w:noProof/>
        <w:sz w:val="20"/>
        <w:szCs w:val="20"/>
      </w:rPr>
      <w:t>4</w:t>
    </w:r>
    <w:r w:rsidRPr="007415E6">
      <w:rPr>
        <w:rFonts w:ascii="Calibri" w:hAnsi="Calibri"/>
        <w:sz w:val="20"/>
        <w:szCs w:val="20"/>
      </w:rPr>
      <w:fldChar w:fldCharType="end"/>
    </w:r>
  </w:p>
  <w:p w:rsidR="005C51FE" w:rsidRDefault="005C51F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4346" w:rsidRDefault="00A44346" w:rsidP="00254007">
      <w:r>
        <w:separator/>
      </w:r>
    </w:p>
  </w:footnote>
  <w:footnote w:type="continuationSeparator" w:id="0">
    <w:p w:rsidR="00A44346" w:rsidRDefault="00A44346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51FE" w:rsidRDefault="005C51FE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5C51FE" w:rsidRDefault="005C51F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5158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4346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8CFB349D-BC9B-408C-BCF7-EC712B747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1123</Words>
  <Characters>6066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2026-05-25T13:41:00Z</dcterms:created>
  <dcterms:modified xsi:type="dcterms:W3CDTF">2026-05-25T13:41:00Z</dcterms:modified>
</cp:coreProperties>
</file>