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sistema </w:t>
      </w:r>
      <w:r w:rsidR="00B02CAF" w:rsidRPr="00B02CAF">
        <w:rPr>
          <w:rFonts w:ascii="Calibri" w:hAnsi="Calibri" w:cs="Calibri"/>
          <w:b/>
          <w:sz w:val="24"/>
          <w:szCs w:val="22"/>
        </w:rPr>
        <w:t>PREVJUD</w:t>
      </w:r>
      <w:r w:rsidR="00B02CAF" w:rsidRPr="00B02CAF">
        <w:rPr>
          <w:rFonts w:ascii="Calibri" w:hAnsi="Calibri" w:cs="Calibri"/>
          <w:sz w:val="24"/>
          <w:szCs w:val="22"/>
        </w:rPr>
        <w:t>, que fora instituído pelo Programa Justiça 4.0.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t xml:space="preserve">O </w:t>
      </w:r>
      <w:r w:rsidRPr="00B02CAF">
        <w:rPr>
          <w:rFonts w:ascii="Calibri" w:hAnsi="Calibri" w:cs="Calibri"/>
          <w:b/>
          <w:sz w:val="24"/>
          <w:szCs w:val="22"/>
        </w:rPr>
        <w:t>Programa Justiça 4.0</w:t>
      </w:r>
      <w:r w:rsidRPr="00B02CAF">
        <w:rPr>
          <w:rFonts w:ascii="Calibri" w:hAnsi="Calibri" w:cs="Calibri"/>
          <w:sz w:val="24"/>
          <w:szCs w:val="22"/>
        </w:rPr>
        <w:t xml:space="preserve"> – Inovação e Efetividade na Realização da Justiça para Todos, desenvolvido por meio de parceria entre o Conselho Nacional de Justiça (CNJ), o Programa das Nações Unidas para o Desenvolvimento (PNUD) e o Conselho da Justiça Federal (CJF), com o apoio do Tribunal Superior Eleitoral (TSE), do Superior Tribunal de Justiça (STJ) e do Conselho Superior da Justiça do Trabalho (CSJT), elaborou duas novas ferramentas digitais com o objetivo de otimizar a prestação jurisdicional. Dentre elas, destaca-se o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>, voltado para as ações previdenciárias, que permite o acesso automático dos membros do Poder Judiciário a informações previdenciárias, além de viabilizar o envio automatizado de ordens judiciais ao INSS.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lastRenderedPageBreak/>
        <w:t xml:space="preserve">É cabível a utilização do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 em ações de execução para obtenção de informações sobre rendimentos da parte executada, visando à verificação da possibilidade de penhora futura. 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, desenvolvido pelo Programa Justiça 4.0 do CNJ, possibilita o acesso automatizado a informações previdenciárias e o envio de ordens judiciais ao INSS, </w:t>
      </w:r>
      <w:r w:rsidRPr="00B02CAF">
        <w:rPr>
          <w:rFonts w:ascii="Calibri" w:hAnsi="Calibri" w:cs="Calibri"/>
          <w:b/>
          <w:sz w:val="24"/>
          <w:szCs w:val="22"/>
        </w:rPr>
        <w:t xml:space="preserve">garantindo maior celeridade e efetividade às decisões judiciais, especialmente em ações de execução. </w:t>
      </w:r>
      <w:r w:rsidRPr="00B02CAF">
        <w:rPr>
          <w:rFonts w:ascii="Calibri" w:hAnsi="Calibri" w:cs="Calibri"/>
          <w:sz w:val="24"/>
          <w:szCs w:val="22"/>
        </w:rPr>
        <w:t>Nesse sentido, pertinente mencionar as seguintes jurisprudências do Egrégio Tribunal de Minas Gerais: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AGRAVO DE INSTRUMENTO - EXECUÇÃO - MEDIDAS ATÍPICAS - INCISO IV, DO ART. 139, DO CÓDIGO DE PROCESSO CIVIL - NECESSIDADE DE OBSERVÂNCIA AOS PRINCÍPIOS DA PROPORCIONALIDADE E DA RAZOABILIDADE - CONSULTA À PLATAFORMA PREVJUD - VERIFICAÇÃO DE TITULARIDADE DE BENEFÍCIO EM NOME DOS EXECUTADOS - POSSIBILIDADE.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- Consoante dispõe o inciso IV, do art. 139, do CPC, incumbe ao Juiz "determinar todas as medidas indutivas, coercitivas, mandamentais ou sub-rogatórias necessárias para assegurar o cumprimento de ordem judicial, inclusive nas ações que tenham por objeto prestação pecuniária".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- "É cabível o deferimento do pedido de consulta ao sistema PREVJUD, para aferir eventual existência de relação empregatícia da parte executada"</w:t>
      </w:r>
      <w:r w:rsidRPr="00B02CAF">
        <w:rPr>
          <w:rFonts w:ascii="Calibri" w:hAnsi="Calibri" w:cs="Calibri"/>
          <w:sz w:val="20"/>
          <w:szCs w:val="20"/>
        </w:rPr>
        <w:t>(TJMG - Agravo de Instrumento-Cv 1.0000.24.163028-4/001).  (TJMG -  Agravo de Instrumento-Cv  1.0000.24.164004-4/003, Relator(a): Des.(a) Roberto Vasconcellos , 17ª CÂMARA CÍVEL, julgamento em 02/07/2025, publicação da súmula em 04/07/2025) (destaquei)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EMENTA: DIREITO PROCESSUAL CIVIL. AGRAVO DE INSTRUMENTO. AÇÃO DE EXECUÇÃO. UTILIZAÇÃO DO SISTEMA PREVJUD. OBTENÇÃO DE INFORMAÇÕES SOBRE RENDIMENTOS DO EXECUTADO. POSSIBILIDADE. PRINCÍPIOS DA CELERIDADE E EFETIVIDADE PROCESSUAL. 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I. CASO EM EXAME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Agravo de instrumento interposto contra decisão que indeferiu o pedido de utilização do sistema PREVJUD para obtenção de informações sobre rendimentos da parte executada, oriundos de vínculo empregatício ou benefício previdenciário, com o objetivo de verificar 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II. QUESTÃO EM DISCUSSÃO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Há duas questões em discussão: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lastRenderedPageBreak/>
        <w:t>(i) definir se é cabível a utilização do sistema PREVJUD na execução, como meio de obtenção de informações sobre rendimentos do devedor;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(ii) verificar se o indeferimento do pedido prejudica os princípios da celeridade e efetividade processual.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III. RAZÕES DE DECIDIR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O sistema PREVJUD, desenvolvido pelo Programa Justiça 4.0 do CNJ, possibilita o acesso automatizado a informações previdenciárias e o envio de ordens judiciais ao INSS, garantindo maior celeridade e efetividade às decisões judiciais, especialmente em ações de execução.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 xml:space="preserve">Nos termos do entendimento consolidado no Tema 79 do IRDR nº 1.0182.16.001439-1/001, do TJMG, </w:t>
      </w:r>
      <w:r w:rsidRPr="00B02CAF">
        <w:rPr>
          <w:rFonts w:ascii="Calibri" w:hAnsi="Calibri" w:cs="Calibri"/>
          <w:b/>
          <w:sz w:val="20"/>
          <w:szCs w:val="20"/>
        </w:rPr>
        <w:t>é permitida, de forma excepcional, a penhora de verba salarial para pagamento de dívida não alimentar, respeitado o limite de 30% do rendimento líquido e preservada a subsistência digna do devedor e de sua família. Assim, é legítima a utilização do sistema PREVJUD para a verificação de rendimentos que eventualmente possam ser objeto de penhora.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O Superior Tribunal de Justiça, no julgamento do EREsp 1.874.222/DF, também relativizou a impenhorabilidade de verbas salariais para pagamento de dívidas não alimentares, reforçando a possibilidade de penhora desde que respeitadas as garantias mínimas à subsistência do devedor.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A consulta ao sistema PREVJUD não viola qualquer dispositivo legal, sendo um instrumento legítimo para garantir a efetividade da execução, conforme jurisprudência do TJMG, que admite a utilização de sistemas judiciais para pesquisa de bens e rendimentos em situações de tentativas infrutíferas de localização de bens penhoráveis (Agravo de Instrumento-Cv 1.0000.23.152782-1/001).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 parte sucumbente deverá arcar com os custos das pesquisas realizadas, nos termos do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IV. DISPOSITIVO E TESE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Tese de julgamento: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É cabível a utilização do sistema PREVJUD em ações de execução para obtenção de informações sobre rendimentos da parte executada, visando à verificação da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 xml:space="preserve">A penhora de rendimentos salariais ou previdenciários, de forma excepcional, é permitida para pagamento de dívidas não alimentares, respeitado o limite </w:t>
      </w:r>
      <w:r w:rsidRPr="00B02CAF">
        <w:rPr>
          <w:rFonts w:ascii="Calibri" w:hAnsi="Calibri" w:cs="Calibri"/>
          <w:b/>
          <w:sz w:val="20"/>
          <w:szCs w:val="20"/>
        </w:rPr>
        <w:lastRenderedPageBreak/>
        <w:t>de 30% da verba líquida e preservada a subsistência digna do devedor e de sua família.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As despesas decorrentes da consulta ao sistema PREVJUD devem ser suportadas pela parte sucumbente, conforme previsto no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Dispositivos relevantes citados: CPC, art. 835, § 2º; Provimento Conjunto nº 15/2010 do TJMG, art. 11, §§ 2º e 9º.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Jurisprudência relevante citada: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1.0000.24.382135-2/001, Rel. Des. Newton Teixeira Carvalho, 13ª Câmara Cível, j. 29/11/2024, p. 03/12/2024.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1.0000.23.152782-1/001, Rel. Des. Joemilson Donizetti Lopes, 12ª Câmara Cível, j. 02/02/2024, p. 07/02/2024.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IRDR nº 1.0182.16.001439-1/001, Tema 79, Rel. Des. Wanderley Paiva, j. 12/04/2019, p. 15/04/2019.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STJ, EREsp 1.874.222/DF, Rel. Min. Marco Buzzi, 2ª Seção, j. 28/10/2020, DJe 03/11/2020.  (TJMG -  Agravo de Instrumento-Cv  1.0000.24.182595-9/003, Relator(a): Des.(a) Sérgio André da Fonseca Xavier , 18ª CÂMARA CÍVEL, julgamento em 17/06/2025, publicação da súmula em 18/06/2025) (destaquei)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D842DD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6D4" w:rsidRDefault="00B346D4" w:rsidP="00254007">
      <w:r>
        <w:separator/>
      </w:r>
    </w:p>
  </w:endnote>
  <w:endnote w:type="continuationSeparator" w:id="0">
    <w:p w:rsidR="00B346D4" w:rsidRDefault="00B346D4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D842DD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D842DD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6D4" w:rsidRDefault="00B346D4" w:rsidP="00254007">
      <w:r>
        <w:separator/>
      </w:r>
    </w:p>
  </w:footnote>
  <w:footnote w:type="continuationSeparator" w:id="0">
    <w:p w:rsidR="00B346D4" w:rsidRDefault="00B346D4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46D4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42DD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75B539F-0F13-4E1C-BBF5-01C45E7E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1157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