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F73F0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6A13E2" w:rsidRPr="006A13E2" w:rsidRDefault="00293876" w:rsidP="006A13E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>Deste modo, requer</w:t>
      </w:r>
      <w:r w:rsidR="00A7757F">
        <w:rPr>
          <w:rFonts w:ascii="Calibri" w:hAnsi="Calibri" w:cs="Calibri"/>
          <w:sz w:val="24"/>
          <w:szCs w:val="22"/>
        </w:rPr>
        <w:t xml:space="preserve"> a </w:t>
      </w:r>
      <w:r w:rsidR="006A13E2" w:rsidRPr="006A13E2">
        <w:rPr>
          <w:rFonts w:ascii="Calibri" w:hAnsi="Calibri" w:cs="Calibri"/>
          <w:sz w:val="24"/>
          <w:szCs w:val="22"/>
        </w:rPr>
        <w:t xml:space="preserve">extensão da funcionalidade da ferramenta SISBAJUD para realizar consulta à </w:t>
      </w:r>
      <w:r w:rsidR="006A13E2" w:rsidRPr="006A13E2">
        <w:rPr>
          <w:rFonts w:ascii="Calibri" w:hAnsi="Calibri" w:cs="Calibri"/>
          <w:b/>
          <w:sz w:val="24"/>
          <w:szCs w:val="22"/>
        </w:rPr>
        <w:t>CCS Bacen</w:t>
      </w:r>
      <w:r w:rsidR="006A13E2" w:rsidRPr="006A13E2">
        <w:rPr>
          <w:rFonts w:ascii="Calibri" w:hAnsi="Calibri" w:cs="Calibri"/>
          <w:sz w:val="24"/>
          <w:szCs w:val="22"/>
        </w:rPr>
        <w:t xml:space="preserve"> (Cadastro de Clientes do Sistema Financeiro Nacional) , objetivando verificar em quais instituições financeiras </w:t>
      </w:r>
      <w:r w:rsidR="006A13E2" w:rsidRPr="00293876">
        <w:rPr>
          <w:rFonts w:ascii="Calibri" w:hAnsi="Calibri" w:cs="Calibri"/>
          <w:sz w:val="24"/>
          <w:szCs w:val="22"/>
          <w:highlight w:val="yellow"/>
        </w:rPr>
        <w:t>(o ou os)</w:t>
      </w:r>
      <w:r w:rsidR="006A13E2" w:rsidRPr="006A13E2">
        <w:rPr>
          <w:rFonts w:ascii="Calibri" w:hAnsi="Calibri" w:cs="Calibri"/>
          <w:sz w:val="24"/>
          <w:szCs w:val="22"/>
        </w:rPr>
        <w:t xml:space="preserve"> </w:t>
      </w:r>
      <w:r w:rsidR="006A13E2" w:rsidRPr="00293876">
        <w:rPr>
          <w:rFonts w:ascii="Calibri" w:hAnsi="Calibri" w:cs="Calibri"/>
          <w:sz w:val="24"/>
          <w:szCs w:val="22"/>
          <w:highlight w:val="yellow"/>
        </w:rPr>
        <w:t>(</w:t>
      </w:r>
      <w:r w:rsidR="006A13E2">
        <w:rPr>
          <w:rFonts w:ascii="Calibri" w:hAnsi="Calibri" w:cs="Calibri"/>
          <w:sz w:val="24"/>
          <w:szCs w:val="22"/>
          <w:highlight w:val="yellow"/>
        </w:rPr>
        <w:t>devedor</w:t>
      </w:r>
      <w:r w:rsidR="006A13E2" w:rsidRPr="00293876">
        <w:rPr>
          <w:rFonts w:ascii="Calibri" w:hAnsi="Calibri" w:cs="Calibri"/>
          <w:sz w:val="24"/>
          <w:szCs w:val="22"/>
          <w:highlight w:val="yellow"/>
        </w:rPr>
        <w:t xml:space="preserve"> ou </w:t>
      </w:r>
      <w:r w:rsidR="006A13E2">
        <w:rPr>
          <w:rFonts w:ascii="Calibri" w:hAnsi="Calibri" w:cs="Calibri"/>
          <w:sz w:val="24"/>
          <w:szCs w:val="22"/>
          <w:highlight w:val="yellow"/>
        </w:rPr>
        <w:t>devedores</w:t>
      </w:r>
      <w:r w:rsidR="006A13E2" w:rsidRPr="00293876">
        <w:rPr>
          <w:rFonts w:ascii="Calibri" w:hAnsi="Calibri" w:cs="Calibri"/>
          <w:sz w:val="24"/>
          <w:szCs w:val="22"/>
          <w:highlight w:val="yellow"/>
        </w:rPr>
        <w:t>)</w:t>
      </w:r>
      <w:r w:rsidR="006A13E2" w:rsidRPr="006A13E2">
        <w:rPr>
          <w:rFonts w:ascii="Calibri" w:hAnsi="Calibri" w:cs="Calibri"/>
          <w:sz w:val="24"/>
          <w:szCs w:val="22"/>
        </w:rPr>
        <w:t xml:space="preserve"> </w:t>
      </w:r>
      <w:r w:rsidR="006A13E2" w:rsidRPr="006A13E2">
        <w:rPr>
          <w:rFonts w:ascii="Calibri" w:hAnsi="Calibri" w:cs="Calibri"/>
          <w:sz w:val="24"/>
          <w:szCs w:val="22"/>
          <w:highlight w:val="yellow"/>
        </w:rPr>
        <w:t>(mantem ou mantêm)</w:t>
      </w:r>
      <w:r w:rsidR="006A13E2" w:rsidRPr="006A13E2">
        <w:rPr>
          <w:rFonts w:ascii="Calibri" w:hAnsi="Calibri" w:cs="Calibri"/>
          <w:sz w:val="24"/>
          <w:szCs w:val="22"/>
        </w:rPr>
        <w:t xml:space="preserve"> contas de depósitos à vista, de poupança, depósitos a prazo e outros bens, direitos e valores diretamente ou por intermédio de seus representantes legais e procuradores, com a juntada das pesquisas aos autos como documento sigiloso.</w:t>
      </w:r>
    </w:p>
    <w:p w:rsidR="006A13E2" w:rsidRPr="006A13E2" w:rsidRDefault="006A13E2" w:rsidP="006A13E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6A13E2" w:rsidRDefault="006A13E2" w:rsidP="006A13E2">
      <w:pPr>
        <w:spacing w:line="360" w:lineRule="auto"/>
        <w:rPr>
          <w:rFonts w:ascii="Calibri" w:hAnsi="Calibri" w:cs="Calibri"/>
          <w:sz w:val="24"/>
          <w:szCs w:val="22"/>
        </w:rPr>
      </w:pPr>
      <w:r w:rsidRPr="006A13E2">
        <w:rPr>
          <w:rFonts w:ascii="Calibri" w:hAnsi="Calibri" w:cs="Calibri"/>
          <w:sz w:val="24"/>
          <w:szCs w:val="22"/>
        </w:rPr>
        <w:t>Apenas por cautela, considerando a recorrência de alguns indeferimentos destes requerimentos em alguns juízos de primeira instância, quanto à ampliação das pesquisas requeridas, em acórdãos recentes, o STJ já decidiu pelo deferimento, sendo certo que não há motivos para indeferimento no presente caso:</w:t>
      </w:r>
    </w:p>
    <w:p w:rsidR="006A13E2" w:rsidRDefault="006A13E2" w:rsidP="006A13E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6A13E2" w:rsidRPr="006A13E2" w:rsidRDefault="006A13E2" w:rsidP="006A13E2">
      <w:pPr>
        <w:spacing w:line="360" w:lineRule="auto"/>
        <w:ind w:left="1701"/>
        <w:rPr>
          <w:rFonts w:ascii="Calibri" w:hAnsi="Calibri" w:cs="Calibri"/>
          <w:b/>
          <w:sz w:val="20"/>
          <w:szCs w:val="20"/>
        </w:rPr>
      </w:pPr>
      <w:r w:rsidRPr="006A13E2">
        <w:rPr>
          <w:rFonts w:ascii="Calibri" w:hAnsi="Calibri" w:cs="Calibri"/>
          <w:sz w:val="20"/>
          <w:szCs w:val="20"/>
        </w:rPr>
        <w:t xml:space="preserve">(...) 18. Assim, com o desiderato de aferir a existência de bens do devedor passíveis de controle por atos executivos, exsurgem, a favor do exequente, inúmeros sistemas de comunicação eletrônica, tais como: BacenJud (sucedido pelo </w:t>
      </w:r>
      <w:r w:rsidRPr="006A13E2">
        <w:rPr>
          <w:rFonts w:ascii="Calibri" w:hAnsi="Calibri" w:cs="Calibri"/>
          <w:b/>
          <w:sz w:val="20"/>
          <w:szCs w:val="20"/>
          <w:u w:val="single"/>
        </w:rPr>
        <w:t>SisbaJud</w:t>
      </w:r>
      <w:r w:rsidRPr="006A13E2">
        <w:rPr>
          <w:rFonts w:ascii="Calibri" w:hAnsi="Calibri" w:cs="Calibri"/>
          <w:sz w:val="20"/>
          <w:szCs w:val="20"/>
        </w:rPr>
        <w:t xml:space="preserve">, sistema que </w:t>
      </w:r>
      <w:r w:rsidRPr="006A13E2">
        <w:rPr>
          <w:rFonts w:ascii="Calibri" w:hAnsi="Calibri" w:cs="Calibri"/>
          <w:sz w:val="20"/>
          <w:szCs w:val="20"/>
        </w:rPr>
        <w:lastRenderedPageBreak/>
        <w:t xml:space="preserve">interliga o Poder Judiciário ao Banco Central e às instituições financeiras, para agilizar a solicitação de informações e o envio de ordens judiciais), </w:t>
      </w:r>
      <w:r w:rsidRPr="006A13E2">
        <w:rPr>
          <w:rFonts w:ascii="Calibri" w:hAnsi="Calibri" w:cs="Calibri"/>
          <w:b/>
          <w:sz w:val="20"/>
          <w:szCs w:val="20"/>
          <w:u w:val="single"/>
        </w:rPr>
        <w:t>RenaJud</w:t>
      </w:r>
      <w:r w:rsidRPr="006A13E2">
        <w:rPr>
          <w:rFonts w:ascii="Calibri" w:hAnsi="Calibri" w:cs="Calibri"/>
          <w:sz w:val="20"/>
          <w:szCs w:val="20"/>
        </w:rPr>
        <w:t xml:space="preserve"> (sistema on-line de restrição judicial de veículos, que interliga o Poder Judiciário ao Denatran), I</w:t>
      </w:r>
      <w:r w:rsidRPr="006A13E2">
        <w:rPr>
          <w:rFonts w:ascii="Calibri" w:hAnsi="Calibri" w:cs="Calibri"/>
          <w:b/>
          <w:sz w:val="20"/>
          <w:szCs w:val="20"/>
          <w:u w:val="single"/>
        </w:rPr>
        <w:t>nfoJud</w:t>
      </w:r>
      <w:r w:rsidRPr="006A13E2">
        <w:rPr>
          <w:rFonts w:ascii="Calibri" w:hAnsi="Calibri" w:cs="Calibri"/>
          <w:sz w:val="20"/>
          <w:szCs w:val="20"/>
        </w:rPr>
        <w:t xml:space="preserve"> (resultado de uma parceria entre o CNJ e a Receita Federal, é um sistema de informações ao Judiciário, oferecido unicamente aos magistrados ou servidores autorizados, com o objetivo de atender às solicitações do Judiciário à Receita Federal), </w:t>
      </w:r>
      <w:r w:rsidRPr="006A13E2">
        <w:rPr>
          <w:rFonts w:ascii="Calibri" w:hAnsi="Calibri" w:cs="Calibri"/>
          <w:b/>
          <w:sz w:val="20"/>
          <w:szCs w:val="20"/>
          <w:u w:val="single"/>
        </w:rPr>
        <w:t>InfoSeg</w:t>
      </w:r>
      <w:r w:rsidRPr="006A13E2">
        <w:rPr>
          <w:rFonts w:ascii="Calibri" w:hAnsi="Calibri" w:cs="Calibri"/>
          <w:sz w:val="20"/>
          <w:szCs w:val="20"/>
        </w:rPr>
        <w:t xml:space="preserve"> (sistema que reúne informações de segurança pública dos órgãos de fiscalização do Brasil). 19. </w:t>
      </w:r>
      <w:r w:rsidRPr="006A13E2">
        <w:rPr>
          <w:rFonts w:ascii="Calibri" w:hAnsi="Calibri" w:cs="Calibri"/>
          <w:sz w:val="20"/>
          <w:szCs w:val="20"/>
          <w:u w:val="single"/>
        </w:rPr>
        <w:t>Quanto ao ponto, observa-se que esta Corte Superior possui precedentes no sentido de que tais sistemas podem ser utilizados pelo Poder Judiciário, mesmo sem o esgotamento das buscas por bens do devedor, tendo em vista que são meios colocados à disposição da parte exequente para agilizar a satisfação de seu crédito.</w:t>
      </w:r>
      <w:r w:rsidRPr="006A13E2">
        <w:rPr>
          <w:rFonts w:ascii="Calibri" w:hAnsi="Calibri" w:cs="Calibri"/>
          <w:sz w:val="20"/>
          <w:szCs w:val="20"/>
        </w:rPr>
        <w:t xml:space="preserve"> Nesse sentido: EREsp 1.086.173/SC, PRIMEIRA SEÇÃO, DJe 1º/2/2011; AgInt no AREsp 1.398.071/RJ, SEGUNDA TURMA, DJe 15/3/2019; AREsp 1.376.209/RJ, SEGUNDA TURMA, DJe 13/12/2018; REsp 1.723.898/ES, SEGUNDA TURMA, DJe 23/11/2018; AgInt no AREsp 1.293.757/ES, SEGUNDA TURMA, DJe 14/8/2018; REsp 1.944.161/RS, SEGUNDA TURMA, DJe 23/8/2021; AgInt no AREsp 1.571.886/ES, PRIMEIRA TURMA, DJe 3/12/2020. </w:t>
      </w:r>
      <w:r w:rsidRPr="006A13E2">
        <w:rPr>
          <w:rFonts w:ascii="Calibri" w:hAnsi="Calibri" w:cs="Calibri"/>
          <w:b/>
          <w:sz w:val="20"/>
          <w:szCs w:val="20"/>
        </w:rPr>
        <w:t xml:space="preserve">(REsp 1938665/SP, Rel. Ministra NANCY ANDRIGHI, TERCEIRA TURMA, julgado em 26/10/2021, DJe 03/11/2021). </w:t>
      </w:r>
    </w:p>
    <w:p w:rsidR="006A13E2" w:rsidRPr="006A13E2" w:rsidRDefault="006A13E2" w:rsidP="006A13E2">
      <w:pPr>
        <w:spacing w:line="360" w:lineRule="auto"/>
        <w:ind w:left="1701"/>
        <w:rPr>
          <w:rFonts w:ascii="Calibri" w:hAnsi="Calibri" w:cs="Calibri"/>
          <w:b/>
          <w:sz w:val="20"/>
          <w:szCs w:val="20"/>
        </w:rPr>
      </w:pPr>
    </w:p>
    <w:p w:rsidR="006A13E2" w:rsidRPr="006A13E2" w:rsidRDefault="006A13E2" w:rsidP="006A13E2">
      <w:pPr>
        <w:spacing w:line="360" w:lineRule="auto"/>
        <w:ind w:left="1701"/>
        <w:rPr>
          <w:rFonts w:ascii="Calibri" w:hAnsi="Calibri" w:cs="Calibri"/>
          <w:sz w:val="20"/>
          <w:szCs w:val="20"/>
        </w:rPr>
      </w:pPr>
      <w:r w:rsidRPr="006A13E2">
        <w:rPr>
          <w:rFonts w:ascii="Calibri" w:hAnsi="Calibri" w:cs="Calibri"/>
          <w:sz w:val="20"/>
          <w:szCs w:val="20"/>
        </w:rPr>
        <w:t xml:space="preserve">RECURSO ESPECIAL. CIVIL E PROCESSUAL CIVIL. CUMPRIMENTO DE SENTENÇA. VÍCIOS NO ACÓRDÃO RECORRIDO. NÃO OCORRÊNCIA. EXPEDIÇÃO DE OFÍCIO AO CADASTRO DE CLIENTE DO SISTEMA FINANCEIRO NACIONAL DO BANCO CENTRAL DO BRASIL - CCS/BACEN. POSSIBILIDADE. </w:t>
      </w:r>
      <w:r w:rsidRPr="006A13E2">
        <w:rPr>
          <w:rFonts w:ascii="Calibri" w:hAnsi="Calibri" w:cs="Calibri"/>
          <w:b/>
          <w:sz w:val="20"/>
          <w:szCs w:val="20"/>
        </w:rPr>
        <w:t>1-</w:t>
      </w:r>
      <w:r w:rsidRPr="006A13E2">
        <w:rPr>
          <w:rFonts w:ascii="Calibri" w:hAnsi="Calibri" w:cs="Calibri"/>
          <w:sz w:val="20"/>
          <w:szCs w:val="20"/>
        </w:rPr>
        <w:t xml:space="preserve"> Recurso especial interposto em 26/8/2020 e concluso ao gabinete em 21/6/2021. </w:t>
      </w:r>
      <w:r w:rsidRPr="006A13E2">
        <w:rPr>
          <w:rFonts w:ascii="Calibri" w:hAnsi="Calibri" w:cs="Calibri"/>
          <w:b/>
          <w:sz w:val="20"/>
          <w:szCs w:val="20"/>
        </w:rPr>
        <w:t>2-</w:t>
      </w:r>
      <w:r w:rsidRPr="006A13E2">
        <w:rPr>
          <w:rFonts w:ascii="Calibri" w:hAnsi="Calibri" w:cs="Calibri"/>
          <w:sz w:val="20"/>
          <w:szCs w:val="20"/>
        </w:rPr>
        <w:t xml:space="preserve"> O propósito recursal consiste em dizer se seria possível, após as devidas tentativas de identificação e constrição de ativos financeiros restarem infrutíferas, a determinação de consulta ao </w:t>
      </w:r>
      <w:r w:rsidRPr="006A13E2">
        <w:rPr>
          <w:rFonts w:ascii="Calibri" w:hAnsi="Calibri" w:cs="Calibri"/>
          <w:b/>
          <w:sz w:val="20"/>
          <w:szCs w:val="20"/>
          <w:u w:val="single"/>
        </w:rPr>
        <w:t>CCS-Bacen</w:t>
      </w:r>
      <w:r w:rsidRPr="006A13E2">
        <w:rPr>
          <w:rFonts w:ascii="Calibri" w:hAnsi="Calibri" w:cs="Calibri"/>
          <w:sz w:val="20"/>
          <w:szCs w:val="20"/>
        </w:rPr>
        <w:t xml:space="preserve">, com o fim de apurar a existência de patrimônio do devedor, perseguido em cumprimento de sentença, de natureza cível. </w:t>
      </w:r>
      <w:r w:rsidRPr="006A13E2">
        <w:rPr>
          <w:rFonts w:ascii="Calibri" w:hAnsi="Calibri" w:cs="Calibri"/>
          <w:b/>
          <w:sz w:val="20"/>
          <w:szCs w:val="20"/>
        </w:rPr>
        <w:t>3-</w:t>
      </w:r>
      <w:r w:rsidRPr="006A13E2">
        <w:rPr>
          <w:rFonts w:ascii="Calibri" w:hAnsi="Calibri" w:cs="Calibri"/>
          <w:sz w:val="20"/>
          <w:szCs w:val="20"/>
        </w:rPr>
        <w:t xml:space="preserve"> Na hipótese em exame, é de ser afastada a existência de vícios no acórdão recorrido, à consideração de que as matérias impugnadas foram enfrentadas de forma objetiva e fundamentada no julgamento do recurso, naquilo que o Tribunal a quo entendeu pertinente à solução da controvérsia. </w:t>
      </w:r>
      <w:r w:rsidRPr="006A13E2">
        <w:rPr>
          <w:rFonts w:ascii="Calibri" w:hAnsi="Calibri" w:cs="Calibri"/>
          <w:b/>
          <w:sz w:val="20"/>
          <w:szCs w:val="20"/>
        </w:rPr>
        <w:t xml:space="preserve">4- </w:t>
      </w:r>
      <w:r w:rsidRPr="006A13E2">
        <w:rPr>
          <w:rFonts w:ascii="Calibri" w:hAnsi="Calibri" w:cs="Calibri"/>
          <w:sz w:val="20"/>
          <w:szCs w:val="20"/>
          <w:u w:val="single"/>
        </w:rPr>
        <w:t xml:space="preserve">O Cadastro de Clientes do Sistema Financeiro Nacional (CCS) é um sistema de informações de natureza cadastral, que tem por objeto os relacionamentos mantidos pelas instituições participantes com os seus correntistas ou clientes, mas não congrega dados relativos a valor, movimentação financeira ou saldos de contas e aplicações. </w:t>
      </w:r>
      <w:r w:rsidRPr="006A13E2">
        <w:rPr>
          <w:rFonts w:ascii="Calibri" w:hAnsi="Calibri" w:cs="Calibri"/>
          <w:b/>
          <w:sz w:val="20"/>
          <w:szCs w:val="20"/>
        </w:rPr>
        <w:t>5-</w:t>
      </w:r>
      <w:r w:rsidRPr="006A13E2">
        <w:rPr>
          <w:rFonts w:ascii="Calibri" w:hAnsi="Calibri" w:cs="Calibri"/>
          <w:sz w:val="20"/>
          <w:szCs w:val="20"/>
        </w:rPr>
        <w:t xml:space="preserve"> Em suma, o mencionado cadastro contém as seguintes informações sobre o relacionamento dos clientes ou correntistas com as instituições do Sistema Financeiro Nacional: a) identificação do cliente e de seus representantes legais e procuradores; b) instituições financeiras em que o cliente mantém seus ativos ou investimentos; e c) datas de início e, se houver, de fim de relacionamento. </w:t>
      </w:r>
      <w:r w:rsidRPr="006A13E2">
        <w:rPr>
          <w:rFonts w:ascii="Calibri" w:hAnsi="Calibri" w:cs="Calibri"/>
          <w:b/>
          <w:sz w:val="20"/>
          <w:szCs w:val="20"/>
        </w:rPr>
        <w:t>6-</w:t>
      </w:r>
      <w:r w:rsidRPr="006A13E2">
        <w:rPr>
          <w:rFonts w:ascii="Calibri" w:hAnsi="Calibri" w:cs="Calibri"/>
          <w:sz w:val="20"/>
          <w:szCs w:val="20"/>
        </w:rPr>
        <w:t xml:space="preserve"> O CCS-Bacen, portanto, ostenta natureza meramente cadastral. Não implica constrição, mas sim subsídio à eventual constrição, e funciona como meio para o atingimento de um fim, que poderá ser a penhora de ativos financeiros por meio do BacenJud. 7- Em outras palavras, o acesso às informações do CCS serve como medida que poderá subsidiar futura constrição, alargando a margem de pesquisa por ativos. </w:t>
      </w:r>
      <w:r w:rsidRPr="006A13E2">
        <w:rPr>
          <w:rFonts w:ascii="Calibri" w:hAnsi="Calibri" w:cs="Calibri"/>
          <w:sz w:val="20"/>
          <w:szCs w:val="20"/>
          <w:u w:val="single"/>
        </w:rPr>
        <w:t xml:space="preserve">Não se mostra razoável, assim, permitir a realização de medida constritiva por meio do BacenJud e negar a pesquisa exploratória em cadastro meramente informativo, como é o caso do CCS. Precedente. </w:t>
      </w:r>
      <w:r w:rsidRPr="006A13E2">
        <w:rPr>
          <w:rFonts w:ascii="Calibri" w:hAnsi="Calibri" w:cs="Calibri"/>
          <w:sz w:val="20"/>
          <w:szCs w:val="20"/>
        </w:rPr>
        <w:t xml:space="preserve">8- Dessa forma, não há qualquer impedimento à consulta ao CCS-Bacen nos procedimentos cíveis, devendo ser considerado como apenas mais um mecanismo à disposição do credor na busca para satisfazer o seu crédito. 9- Recurso especial provido. </w:t>
      </w:r>
      <w:r w:rsidRPr="006A13E2">
        <w:rPr>
          <w:rFonts w:ascii="Calibri" w:hAnsi="Calibri" w:cs="Calibri"/>
          <w:b/>
          <w:sz w:val="20"/>
          <w:szCs w:val="20"/>
        </w:rPr>
        <w:t>(REsp 1938665/SP, Rel. Ministra NANCY ANDRIGHI, TERCEIRA TURMA, julgado em 26/10/2021, DJe 03/11/2021).</w:t>
      </w:r>
    </w:p>
    <w:p w:rsidR="00CA70C8" w:rsidRDefault="00CA70C8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 w:val="0"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 w:val="0"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 w:val="0"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AC7160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4A33" w:rsidRDefault="00874A33" w:rsidP="00254007">
      <w:r>
        <w:separator/>
      </w:r>
    </w:p>
  </w:endnote>
  <w:endnote w:type="continuationSeparator" w:id="0">
    <w:p w:rsidR="00874A33" w:rsidRDefault="00874A33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AC7160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AC7160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4A33" w:rsidRDefault="00874A33" w:rsidP="00254007">
      <w:r>
        <w:separator/>
      </w:r>
    </w:p>
  </w:footnote>
  <w:footnote w:type="continuationSeparator" w:id="0">
    <w:p w:rsidR="00874A33" w:rsidRDefault="00874A33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1736C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13E2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4A33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863"/>
    <w:rsid w:val="009D7216"/>
    <w:rsid w:val="009F089E"/>
    <w:rsid w:val="009F1BC9"/>
    <w:rsid w:val="009F6A5F"/>
    <w:rsid w:val="009F73F0"/>
    <w:rsid w:val="00A05037"/>
    <w:rsid w:val="00A25132"/>
    <w:rsid w:val="00A2720F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7757F"/>
    <w:rsid w:val="00A84746"/>
    <w:rsid w:val="00A914AB"/>
    <w:rsid w:val="00AA4291"/>
    <w:rsid w:val="00AB031D"/>
    <w:rsid w:val="00AB4816"/>
    <w:rsid w:val="00AC7160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6465"/>
    <w:rsid w:val="00C80B02"/>
    <w:rsid w:val="00C87A32"/>
    <w:rsid w:val="00C9773D"/>
    <w:rsid w:val="00CA40A8"/>
    <w:rsid w:val="00CA70C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9D9BDC1B-F095-47CE-952E-DEF36365B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963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