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371C84" w:rsidRDefault="00293876" w:rsidP="00371C84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371C84">
        <w:rPr>
          <w:rFonts w:ascii="Calibri" w:hAnsi="Calibri" w:cs="Calibri"/>
          <w:sz w:val="24"/>
          <w:szCs w:val="22"/>
        </w:rPr>
        <w:t xml:space="preserve">informar que não há mais provas a serem produzidas. </w:t>
      </w:r>
    </w:p>
    <w:p w:rsidR="00371C84" w:rsidRDefault="00371C84" w:rsidP="00371C84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371C84" w:rsidRDefault="00371C84" w:rsidP="00371C84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 xml:space="preserve">Desse modo, reitera os termos da petição inicial e impugnação apresentada e requer o julgamento antecipado do feito, nos termos do artigo 355 do CPC.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5C0753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3DE6" w:rsidRDefault="00C43DE6" w:rsidP="00254007">
      <w:r>
        <w:separator/>
      </w:r>
    </w:p>
  </w:endnote>
  <w:endnote w:type="continuationSeparator" w:id="0">
    <w:p w:rsidR="00C43DE6" w:rsidRDefault="00C43DE6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5C0753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5C0753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3DE6" w:rsidRDefault="00C43DE6" w:rsidP="00254007">
      <w:r>
        <w:separator/>
      </w:r>
    </w:p>
  </w:footnote>
  <w:footnote w:type="continuationSeparator" w:id="0">
    <w:p w:rsidR="00C43DE6" w:rsidRDefault="00C43DE6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0753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3DE6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5FC33A8D-F3D5-4D23-A713-BA25ED74B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