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Białystok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Położenie Białegostoku na współczesnym styku czterech państw, a także uwarunkowania historyczne, sprawiają, że miasto jest miejscem wielu kultur. W Białymstoku od wieków przenikały się kultury żyjących tu ludzi różnych wyznań oraz narodowości. Sytuacja ta miała ogromny wpływ na Białystok i region, co ukształtowało specyficzny charakter miasta, który jest zauważalny nie tylko w przypadku mieszkańców, ale również w przestrzeni miejskiej.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Białystok - miasto wielu kultur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Brama Wielka „Gryf”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Pałac Branickich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Pomnik Wielkiej Synagogi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Cerkiew Św. Mikołaja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Ogrody Opery i Filharmonii Podlaskiej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Katedra i Kościół Farny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