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6ACD" w:rsidRPr="006A1F87" w:rsidRDefault="00DA6ACD" w:rsidP="006A1F87">
      <w:pPr>
        <w:jc w:val="center"/>
        <w:rPr>
          <w:b/>
          <w:bCs/>
        </w:rPr>
      </w:pPr>
      <w:r w:rsidRPr="006A1F87">
        <w:rPr>
          <w:b/>
          <w:bCs/>
        </w:rPr>
        <w:t>Comparative Analysis of Sequence-to-Sequence Models and Attention Mechanisms</w:t>
      </w:r>
    </w:p>
    <w:p w:rsidR="00DA6ACD" w:rsidRDefault="00DA6ACD" w:rsidP="00DA6ACD"/>
    <w:p w:rsidR="00DA6ACD" w:rsidRDefault="00DA6ACD" w:rsidP="00DA6ACD">
      <w:r>
        <w:t>In the landscape of neural network architectures, two prominent tools have gained prominence: sequence-to-sequence models and attention mechanisms. These tools have demonstrated remarkable versatility and effectiveness across a multitude of applications. In this essay, we will embark on a comprehensive comparative analysis of three texts that delve into the use and understanding of these architectures. These texts span diverse domains, from handwritten text recognition to grammatical error correction and the intricate dynamics of encoder-decoder architectures. Through this in-depth exploration, we aim to elucidate the multifaceted aspects of these models and their contributions to the field of artificial intelligence.</w:t>
      </w:r>
    </w:p>
    <w:p w:rsidR="00DA6ACD" w:rsidRDefault="00DA6ACD" w:rsidP="00DA6ACD"/>
    <w:p w:rsidR="00DA6ACD" w:rsidRDefault="00DA6ACD" w:rsidP="00DA6ACD">
      <w:r>
        <w:t>Text 1: Handwritten Text Recognition</w:t>
      </w:r>
    </w:p>
    <w:p w:rsidR="00DA6ACD" w:rsidRDefault="00DA6ACD" w:rsidP="00DA6ACD"/>
    <w:p w:rsidR="00DA6ACD" w:rsidRDefault="00DA6ACD" w:rsidP="00DA6ACD">
      <w:r>
        <w:t>The first text, titled "Evaluating Sequence-to-Sequence Models for Handwritten Text Recognition," immerses us in the world of handwritten text recognition. This domain demands the accurate conversion of handwritten text into machine-readable format, presenting unique challenges. The authors introduce an attention-based sequence-to-sequence model that combines convolutional neural networks (CNNs) and recurrent neural networks (RNNs). This amalgamation aims to encode both the visual information inherent in handwritten text and the temporal context between characters in the input image.</w:t>
      </w:r>
    </w:p>
    <w:p w:rsidR="00DA6ACD" w:rsidRDefault="00DA6ACD" w:rsidP="00DA6ACD"/>
    <w:p w:rsidR="00DA6ACD" w:rsidRDefault="00DA6ACD" w:rsidP="00DA6ACD">
      <w:r>
        <w:t>The model operates in two distinct phases. First, a convolutional neural network extracts visual features from the input image. Subsequently, a recurrent neural network processes these features, encapsulating the temporal relationships between characters. To decode the actual character sequence, a separate RNN is employed. The crux of the model's effectiveness lies in its attention mechanism, which allows the model to dynamically focus on different parts of the input image as it generates the output sequence. This dynamic attention is pivotal in aligning the input and output sequences effectively.</w:t>
      </w:r>
    </w:p>
    <w:p w:rsidR="00DA6ACD" w:rsidRDefault="00DA6ACD" w:rsidP="00DA6ACD"/>
    <w:p w:rsidR="00DA6ACD" w:rsidRDefault="00DA6ACD" w:rsidP="00DA6ACD">
      <w:r>
        <w:t>The authors engage in a meticulous exploration of various attention mechanisms and positional encodings to optimize the alignment between input and output sequences. This endeavor reflects the significance of attention mechanisms in sequence-to-sequence models. By experimenting with different attention mechanisms, the authors illustrate their influence on the model's performance. Furthermore, the text emphasizes the possibility of training the model end-to-end, which contributes to its competitive results in handwritten text recognition datasets.</w:t>
      </w:r>
    </w:p>
    <w:p w:rsidR="00DA6ACD" w:rsidRDefault="00DA6ACD" w:rsidP="00DA6ACD"/>
    <w:p w:rsidR="00DA6ACD" w:rsidRDefault="00DA6ACD" w:rsidP="00DA6ACD">
      <w:r>
        <w:t>In addition to its technical components, the text provides a valuable overview of related work in the field. This contextualization helps readers grasp the evolution of handwritten text recognition models and appreciate the novel contributions of the proposed attention-based sequence-to-sequence model. By dissecting the model into its encoder, decoder, and attention components, the authors offer a detailed insight into its architecture and operation.</w:t>
      </w:r>
    </w:p>
    <w:p w:rsidR="00DA6ACD" w:rsidRDefault="00DA6ACD" w:rsidP="00DA6ACD"/>
    <w:p w:rsidR="00DA6ACD" w:rsidRDefault="00DA6ACD" w:rsidP="00DA6ACD">
      <w:r>
        <w:lastRenderedPageBreak/>
        <w:t>Text 2: Grammatical Error Correction</w:t>
      </w:r>
    </w:p>
    <w:p w:rsidR="00DA6ACD" w:rsidRDefault="00DA6ACD" w:rsidP="00DA6ACD"/>
    <w:p w:rsidR="00DA6ACD" w:rsidRDefault="00DA6ACD" w:rsidP="00DA6ACD">
      <w:r>
        <w:t>Shifting our focus to a different linguistic domain, the second text, titled "Sentence-Level Grammatical Error Identification as Sequence-to-Sequence Correction," addresses the task of grammatical error correction. Here, the objective is not recognition but correction, highlighting the adaptability of sequence-to-sequence models.</w:t>
      </w:r>
    </w:p>
    <w:p w:rsidR="00DA6ACD" w:rsidRDefault="00DA6ACD" w:rsidP="00DA6ACD"/>
    <w:p w:rsidR="00DA6ACD" w:rsidRDefault="00DA6ACD" w:rsidP="00DA6ACD">
      <w:r>
        <w:t>In this context, the authors employ a character-based sequence-to-sequence model for the identification and correction of grammatical errors in text. The core idea is to frame grammatical error correction as a sequence-to-sequence problem, where the input is a sentence with errors, and the output is the corrected sentence. Once again, attention mechanisms play a pivotal role in the model's success. They allow the model to focus on specific characters and make context-aware corrections.</w:t>
      </w:r>
    </w:p>
    <w:p w:rsidR="00DA6ACD" w:rsidRDefault="00DA6ACD" w:rsidP="00DA6ACD"/>
    <w:p w:rsidR="00DA6ACD" w:rsidRDefault="00DA6ACD" w:rsidP="00DA6ACD">
      <w:r>
        <w:t>One notable aspect of this text is its emphasis on character-based models. Unlike traditional word-based models, character-based models have the advantage of handling out-of-vocabulary words effectively. This character-level modeling contributes to the model's proficiency in identifying and correcting errors, even in contexts where words are misspelled or contextually incorrect.</w:t>
      </w:r>
    </w:p>
    <w:p w:rsidR="00DA6ACD" w:rsidRDefault="00DA6ACD" w:rsidP="00DA6ACD"/>
    <w:p w:rsidR="00DA6ACD" w:rsidRDefault="00DA6ACD" w:rsidP="00DA6ACD">
      <w:r>
        <w:t>Additionally, the text introduces the concept of bias weight adjustment, which proves critical in fine-tuning the model for grammatical error correction. This feature underscores the adaptability of sequence-to-sequence models, as they can be tailored to specific tasks through parameter adjustments.</w:t>
      </w:r>
    </w:p>
    <w:p w:rsidR="00DA6ACD" w:rsidRDefault="00DA6ACD" w:rsidP="00DA6ACD"/>
    <w:p w:rsidR="00DA6ACD" w:rsidRDefault="00DA6ACD" w:rsidP="00DA6ACD">
      <w:r>
        <w:t>Text 3: Understanding Encoder-Decoder Architectures with Attention</w:t>
      </w:r>
    </w:p>
    <w:p w:rsidR="00DA6ACD" w:rsidRDefault="00DA6ACD" w:rsidP="00DA6ACD"/>
    <w:p w:rsidR="00DA6ACD" w:rsidRDefault="00DA6ACD" w:rsidP="00DA6ACD">
      <w:r>
        <w:t>The third text, titled "Understanding How Encoder-Decoder Architectures Attend," diverges from practical applications and instead focuses on understanding the theoretical underpinnings of encoder-decoder architectures equipped with attention mechanisms.</w:t>
      </w:r>
    </w:p>
    <w:p w:rsidR="00DA6ACD" w:rsidRDefault="00DA6ACD" w:rsidP="00DA6ACD"/>
    <w:p w:rsidR="00DA6ACD" w:rsidRDefault="00DA6ACD" w:rsidP="00DA6ACD">
      <w:r>
        <w:t>Here, the authors embark on a quest to unravel the inner workings of encoder-decoder architectures and their associated attention mechanisms. The primary objective is to dissect the mechanisms governing attention matrices and to explore how these mechanisms vary across different tasks.</w:t>
      </w:r>
    </w:p>
    <w:p w:rsidR="00DA6ACD" w:rsidRDefault="00DA6ACD" w:rsidP="00DA6ACD"/>
    <w:p w:rsidR="00DA6ACD" w:rsidRDefault="00DA6ACD" w:rsidP="00DA6ACD">
      <w:r>
        <w:t>The text conducts a comprehensive analysis across diverse neural network architectures, considering tasks such as one-to-one translation, modified SCAN dataset processing, and English to French translation. Through these analyses, the authors gain insights into the dynamics of attention, temporal components, and input-driven components as they relate to different tasks.</w:t>
      </w:r>
    </w:p>
    <w:p w:rsidR="00DA6ACD" w:rsidRDefault="00DA6ACD" w:rsidP="00DA6ACD"/>
    <w:p w:rsidR="00DA6ACD" w:rsidRDefault="00DA6ACD" w:rsidP="00DA6ACD">
      <w:r>
        <w:t xml:space="preserve">One of the key takeaways from this text is the realization that attention mechanisms are highly adaptable. Depending on the task at hand, attention matrices exhibit different patterns and </w:t>
      </w:r>
      <w:r>
        <w:lastRenderedPageBreak/>
        <w:t>behaviors. This adaptability is a testament to the flexibility of encoder-decoder architectures in handling diverse tasks.</w:t>
      </w:r>
    </w:p>
    <w:p w:rsidR="00DA6ACD" w:rsidRDefault="00DA6ACD" w:rsidP="00DA6ACD"/>
    <w:p w:rsidR="00DA6ACD" w:rsidRDefault="00DA6ACD" w:rsidP="00DA6ACD">
      <w:r>
        <w:t>Comparative Analysis:</w:t>
      </w:r>
    </w:p>
    <w:p w:rsidR="00DA6ACD" w:rsidRDefault="00DA6ACD" w:rsidP="00DA6ACD"/>
    <w:p w:rsidR="00DA6ACD" w:rsidRDefault="00DA6ACD" w:rsidP="00DA6ACD">
      <w:r>
        <w:t>1. Application Domain:</w:t>
      </w:r>
    </w:p>
    <w:p w:rsidR="00DA6ACD" w:rsidRDefault="00DA6ACD" w:rsidP="00DA6ACD">
      <w:r>
        <w:t xml:space="preserve">   The first two texts are grounded in practical applications—handwritten text recognition and grammatical error correction. These applications demand the accurate processing of text data but differ in their objectives. The third text, in contrast, adopts a more theoretical approach, seeking to understand the underlying dynamics of neural network architectures.</w:t>
      </w:r>
    </w:p>
    <w:p w:rsidR="00DA6ACD" w:rsidRDefault="00DA6ACD" w:rsidP="00DA6ACD"/>
    <w:p w:rsidR="00DA6ACD" w:rsidRDefault="00DA6ACD" w:rsidP="00DA6ACD">
      <w:r>
        <w:t>2. Model Architecture:</w:t>
      </w:r>
    </w:p>
    <w:p w:rsidR="00DA6ACD" w:rsidRDefault="00DA6ACD" w:rsidP="00DA6ACD">
      <w:r>
        <w:t xml:space="preserve">   While all three texts involve sequence-to-sequence models, they diverge in their architectural specifics. The first and second texts employ sequence-to-sequence models tailored to their respective applications, whereas the third text places a stronger emphasis on theoretical analysis, aiming to understand encoder-decoder architectures independently of specific tasks.</w:t>
      </w:r>
    </w:p>
    <w:p w:rsidR="00DA6ACD" w:rsidRDefault="00DA6ACD" w:rsidP="00DA6ACD"/>
    <w:p w:rsidR="00DA6ACD" w:rsidRDefault="00DA6ACD" w:rsidP="00DA6ACD">
      <w:r>
        <w:t>3. Significance of Attention Mechanisms:</w:t>
      </w:r>
    </w:p>
    <w:p w:rsidR="00DA6ACD" w:rsidRDefault="00DA6ACD" w:rsidP="00DA6ACD">
      <w:r>
        <w:t xml:space="preserve">   Attention mechanisms emerge as a common theme in the first two texts. These mechanisms prove to be crucial in enhancing model performance, whether through effective alignment in recognition or context-aware corrections in error correction. The third text enriches our understanding of attention mechanisms by delving into their behavior across diverse tasks, highlighting their adaptability.</w:t>
      </w:r>
    </w:p>
    <w:p w:rsidR="00DA6ACD" w:rsidRDefault="00DA6ACD" w:rsidP="00DA6ACD"/>
    <w:p w:rsidR="00F033D5" w:rsidRDefault="00DA6ACD" w:rsidP="00DA6ACD">
      <w:r>
        <w:t>In conclusion, these three texts collectively showcase the versatility and power of sequence-to-sequence models and attention mechanisms within the realm of neural network architectures. They underscore the adaptability of these models to various domains, shedding light on their ability to tackle a wide array of complex tasks. Moreover, the texts contribute to our evolving understanding of these architectures, from practical implementations to theoretical insights. In doing so, they reinforce the role of sequence-to-sequence models and attention mechanisms as foundational tools in the field of artificial intelligence.</w:t>
      </w:r>
    </w:p>
    <w:p w:rsidR="000D2A47" w:rsidRDefault="000D2A47" w:rsidP="00DA6ACD"/>
    <w:p w:rsidR="000D2A47" w:rsidRDefault="000D2A47" w:rsidP="00DA6ACD">
      <w:pPr>
        <w:rPr>
          <w:lang w:val="en-US"/>
        </w:rPr>
      </w:pPr>
      <w:r>
        <w:rPr>
          <w:lang w:val="en-US"/>
        </w:rPr>
        <w:t>Bibliography:</w:t>
      </w:r>
    </w:p>
    <w:p w:rsidR="000D2A47" w:rsidRDefault="000D2A47" w:rsidP="00DA6ACD">
      <w:pPr>
        <w:rPr>
          <w:lang w:val="en-US"/>
        </w:rPr>
      </w:pPr>
    </w:p>
    <w:p w:rsidR="007B2411" w:rsidRDefault="007B2411" w:rsidP="00DA6ACD">
      <w:pPr>
        <w:rPr>
          <w:color w:val="05103E"/>
          <w:sz w:val="27"/>
          <w:szCs w:val="27"/>
          <w:bdr w:val="single" w:sz="2" w:space="0" w:color="ECEDEE" w:frame="1"/>
        </w:rPr>
      </w:pPr>
      <w:r>
        <w:rPr>
          <w:color w:val="05103E"/>
          <w:sz w:val="27"/>
          <w:szCs w:val="27"/>
        </w:rPr>
        <w:t>Michael, J., Labahn, R., Grüning, T., &amp; Zöllner, J. M. (2019). Evaluating Sequence-to-Sequence Models for Handwritten Text Recognition. </w:t>
      </w:r>
      <w:r>
        <w:rPr>
          <w:i/>
          <w:iCs/>
          <w:color w:val="05103E"/>
          <w:sz w:val="27"/>
          <w:szCs w:val="27"/>
          <w:bdr w:val="single" w:sz="2" w:space="0" w:color="ECEDEE" w:frame="1"/>
        </w:rPr>
        <w:t>N.A</w:t>
      </w:r>
      <w:r>
        <w:rPr>
          <w:color w:val="05103E"/>
          <w:sz w:val="27"/>
          <w:szCs w:val="27"/>
        </w:rPr>
        <w:t>. </w:t>
      </w:r>
      <w:hyperlink r:id="rId4" w:history="1">
        <w:r w:rsidRPr="000F7437">
          <w:rPr>
            <w:rStyle w:val="Hyperlink"/>
            <w:sz w:val="27"/>
            <w:szCs w:val="27"/>
            <w:bdr w:val="single" w:sz="2" w:space="0" w:color="ECEDEE" w:frame="1"/>
          </w:rPr>
          <w:t>https://doi.org/10.1109/icdar.2019.00208</w:t>
        </w:r>
      </w:hyperlink>
    </w:p>
    <w:p w:rsidR="007B2411" w:rsidRDefault="007B2411" w:rsidP="00DA6ACD">
      <w:pPr>
        <w:rPr>
          <w:color w:val="05103E"/>
          <w:sz w:val="27"/>
          <w:szCs w:val="27"/>
          <w:bdr w:val="single" w:sz="2" w:space="0" w:color="ECEDEE" w:frame="1"/>
        </w:rPr>
      </w:pPr>
    </w:p>
    <w:p w:rsidR="007B2411" w:rsidRDefault="007B2411" w:rsidP="00DA6ACD">
      <w:pPr>
        <w:rPr>
          <w:color w:val="05103E"/>
          <w:sz w:val="27"/>
          <w:szCs w:val="27"/>
          <w:bdr w:val="single" w:sz="2" w:space="0" w:color="ECEDEE" w:frame="1"/>
        </w:rPr>
      </w:pPr>
      <w:r>
        <w:rPr>
          <w:color w:val="05103E"/>
          <w:sz w:val="27"/>
          <w:szCs w:val="27"/>
        </w:rPr>
        <w:t>Schmaltz, A., Kim, Y., Rushton, G., &amp; Shieber, S. M. (2016). Sentence-Level Grammatical Error Identification as Sequence-to-Sequence Correction. </w:t>
      </w:r>
      <w:r>
        <w:rPr>
          <w:i/>
          <w:iCs/>
          <w:color w:val="05103E"/>
          <w:sz w:val="27"/>
          <w:szCs w:val="27"/>
          <w:bdr w:val="single" w:sz="2" w:space="0" w:color="ECEDEE" w:frame="1"/>
        </w:rPr>
        <w:t>N.A</w:t>
      </w:r>
      <w:r>
        <w:rPr>
          <w:color w:val="05103E"/>
          <w:sz w:val="27"/>
          <w:szCs w:val="27"/>
        </w:rPr>
        <w:t>. </w:t>
      </w:r>
      <w:hyperlink r:id="rId5" w:history="1">
        <w:r w:rsidRPr="000F7437">
          <w:rPr>
            <w:rStyle w:val="Hyperlink"/>
            <w:sz w:val="27"/>
            <w:szCs w:val="27"/>
            <w:bdr w:val="single" w:sz="2" w:space="0" w:color="ECEDEE" w:frame="1"/>
          </w:rPr>
          <w:t>https://doi.org/10.18653/v1/w16-0528</w:t>
        </w:r>
      </w:hyperlink>
    </w:p>
    <w:p w:rsidR="007B2411" w:rsidRDefault="007B2411" w:rsidP="00DA6ACD">
      <w:pPr>
        <w:rPr>
          <w:color w:val="05103E"/>
          <w:sz w:val="27"/>
          <w:szCs w:val="27"/>
          <w:bdr w:val="single" w:sz="2" w:space="0" w:color="ECEDEE" w:frame="1"/>
        </w:rPr>
      </w:pPr>
    </w:p>
    <w:p w:rsidR="007B2411" w:rsidRDefault="007B2411" w:rsidP="00DA6ACD">
      <w:pPr>
        <w:rPr>
          <w:color w:val="05103E"/>
          <w:sz w:val="27"/>
          <w:szCs w:val="27"/>
        </w:rPr>
      </w:pPr>
      <w:r>
        <w:rPr>
          <w:color w:val="05103E"/>
          <w:sz w:val="27"/>
          <w:szCs w:val="27"/>
        </w:rPr>
        <w:lastRenderedPageBreak/>
        <w:t>Aitken, K., Cao, Y., Ramasesh, V. V., &amp; Maheswaranathan, N. (2016). Understanding How Encoder-Decoder Architectures Attend. </w:t>
      </w:r>
      <w:r>
        <w:rPr>
          <w:i/>
          <w:iCs/>
          <w:color w:val="05103E"/>
          <w:sz w:val="27"/>
          <w:szCs w:val="27"/>
          <w:bdr w:val="single" w:sz="2" w:space="0" w:color="ECEDEE" w:frame="1"/>
        </w:rPr>
        <w:t>N.A.</w:t>
      </w:r>
      <w:r>
        <w:rPr>
          <w:color w:val="05103E"/>
          <w:sz w:val="27"/>
          <w:szCs w:val="27"/>
        </w:rPr>
        <w:t>, ba3c736667394d5082f86f28aef38107.</w:t>
      </w:r>
    </w:p>
    <w:p w:rsidR="007B2411" w:rsidRDefault="007B2411" w:rsidP="00DA6ACD">
      <w:pPr>
        <w:rPr>
          <w:lang w:val="en-US"/>
        </w:rPr>
      </w:pPr>
    </w:p>
    <w:p w:rsidR="004563C8" w:rsidRDefault="004563C8" w:rsidP="00DA6ACD">
      <w:pPr>
        <w:rPr>
          <w:color w:val="05103E"/>
          <w:sz w:val="27"/>
          <w:szCs w:val="27"/>
          <w:bdr w:val="single" w:sz="2" w:space="0" w:color="ECEDEE" w:frame="1"/>
        </w:rPr>
      </w:pPr>
      <w:r>
        <w:rPr>
          <w:color w:val="05103E"/>
          <w:sz w:val="27"/>
          <w:szCs w:val="27"/>
        </w:rPr>
        <w:t>Bahuleyan, H., Mou, L., Vechtomova, O., &amp; Poupart, P. (2018). Variational attention for Sequence-to-Sequence models. </w:t>
      </w:r>
      <w:r>
        <w:rPr>
          <w:i/>
          <w:iCs/>
          <w:color w:val="05103E"/>
          <w:sz w:val="27"/>
          <w:szCs w:val="27"/>
          <w:bdr w:val="single" w:sz="2" w:space="0" w:color="ECEDEE" w:frame="1"/>
        </w:rPr>
        <w:t>arXiv (Cornell University)</w:t>
      </w:r>
      <w:r>
        <w:rPr>
          <w:color w:val="05103E"/>
          <w:sz w:val="27"/>
          <w:szCs w:val="27"/>
        </w:rPr>
        <w:t>, 1672-1682. </w:t>
      </w:r>
      <w:hyperlink r:id="rId6" w:history="1">
        <w:r w:rsidRPr="000F7437">
          <w:rPr>
            <w:rStyle w:val="Hyperlink"/>
            <w:sz w:val="27"/>
            <w:szCs w:val="27"/>
            <w:bdr w:val="single" w:sz="2" w:space="0" w:color="ECEDEE" w:frame="1"/>
          </w:rPr>
          <w:t>https://arxiv.org/pdf/1712.08207.pdf</w:t>
        </w:r>
      </w:hyperlink>
    </w:p>
    <w:p w:rsidR="004563C8" w:rsidRDefault="004563C8" w:rsidP="00DA6ACD">
      <w:pPr>
        <w:rPr>
          <w:color w:val="05103E"/>
          <w:sz w:val="27"/>
          <w:szCs w:val="27"/>
          <w:bdr w:val="single" w:sz="2" w:space="0" w:color="ECEDEE" w:frame="1"/>
        </w:rPr>
      </w:pPr>
    </w:p>
    <w:p w:rsidR="004563C8" w:rsidRDefault="004563C8" w:rsidP="00DA6ACD">
      <w:pPr>
        <w:rPr>
          <w:color w:val="05103E"/>
          <w:sz w:val="27"/>
          <w:szCs w:val="27"/>
          <w:bdr w:val="single" w:sz="2" w:space="0" w:color="ECEDEE" w:frame="1"/>
        </w:rPr>
      </w:pPr>
      <w:r>
        <w:rPr>
          <w:color w:val="05103E"/>
          <w:sz w:val="27"/>
          <w:szCs w:val="27"/>
        </w:rPr>
        <w:t>Jiang, K., Han, Q., &amp; Ni, P. (2021). Structural dynamic response reconstruction and virtual sensing using a sequence to sequence modeling with attention mechanism. </w:t>
      </w:r>
      <w:r>
        <w:rPr>
          <w:i/>
          <w:iCs/>
          <w:color w:val="05103E"/>
          <w:sz w:val="27"/>
          <w:szCs w:val="27"/>
          <w:bdr w:val="single" w:sz="2" w:space="0" w:color="ECEDEE" w:frame="1"/>
        </w:rPr>
        <w:t>Automation in Construction</w:t>
      </w:r>
      <w:r>
        <w:rPr>
          <w:color w:val="05103E"/>
          <w:sz w:val="27"/>
          <w:szCs w:val="27"/>
        </w:rPr>
        <w:t>, </w:t>
      </w:r>
      <w:r>
        <w:rPr>
          <w:i/>
          <w:iCs/>
          <w:color w:val="05103E"/>
          <w:sz w:val="27"/>
          <w:szCs w:val="27"/>
          <w:bdr w:val="single" w:sz="2" w:space="0" w:color="ECEDEE" w:frame="1"/>
        </w:rPr>
        <w:t>131</w:t>
      </w:r>
      <w:r>
        <w:rPr>
          <w:color w:val="05103E"/>
          <w:sz w:val="27"/>
          <w:szCs w:val="27"/>
        </w:rPr>
        <w:t>, 103895. </w:t>
      </w:r>
      <w:hyperlink r:id="rId7" w:history="1">
        <w:r w:rsidRPr="000F7437">
          <w:rPr>
            <w:rStyle w:val="Hyperlink"/>
            <w:sz w:val="27"/>
            <w:szCs w:val="27"/>
            <w:bdr w:val="single" w:sz="2" w:space="0" w:color="ECEDEE" w:frame="1"/>
          </w:rPr>
          <w:t>https://doi.org/10.1016/j.autcon.2021.103895</w:t>
        </w:r>
      </w:hyperlink>
    </w:p>
    <w:p w:rsidR="004563C8" w:rsidRDefault="004563C8" w:rsidP="00DA6ACD">
      <w:pPr>
        <w:rPr>
          <w:color w:val="05103E"/>
          <w:sz w:val="27"/>
          <w:szCs w:val="27"/>
          <w:bdr w:val="single" w:sz="2" w:space="0" w:color="ECEDEE" w:frame="1"/>
        </w:rPr>
      </w:pPr>
    </w:p>
    <w:p w:rsidR="004563C8" w:rsidRPr="000D2A47" w:rsidRDefault="004563C8" w:rsidP="00DA6ACD">
      <w:pPr>
        <w:rPr>
          <w:lang w:val="en-US"/>
        </w:rPr>
      </w:pPr>
    </w:p>
    <w:sectPr w:rsidR="004563C8" w:rsidRPr="000D2A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92"/>
    <w:rsid w:val="000B0C33"/>
    <w:rsid w:val="000D2A47"/>
    <w:rsid w:val="004563C8"/>
    <w:rsid w:val="005F42EB"/>
    <w:rsid w:val="006A1F87"/>
    <w:rsid w:val="007B2411"/>
    <w:rsid w:val="00A97C92"/>
    <w:rsid w:val="00D306F5"/>
    <w:rsid w:val="00DA6ACD"/>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3FDCA761"/>
  <w15:chartTrackingRefBased/>
  <w15:docId w15:val="{3AF33FFB-14EA-4346-B2FD-24DEC98C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2411"/>
    <w:rPr>
      <w:color w:val="0563C1" w:themeColor="hyperlink"/>
      <w:u w:val="single"/>
    </w:rPr>
  </w:style>
  <w:style w:type="character" w:styleId="UnresolvedMention">
    <w:name w:val="Unresolved Mention"/>
    <w:basedOn w:val="DefaultParagraphFont"/>
    <w:uiPriority w:val="99"/>
    <w:semiHidden/>
    <w:unhideWhenUsed/>
    <w:rsid w:val="007B2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autcon.2021.1038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712.08207.pdf" TargetMode="External"/><Relationship Id="rId5" Type="http://schemas.openxmlformats.org/officeDocument/2006/relationships/hyperlink" Target="https://doi.org/10.18653/v1/w16-0528" TargetMode="External"/><Relationship Id="rId4" Type="http://schemas.openxmlformats.org/officeDocument/2006/relationships/hyperlink" Target="https://doi.org/10.1109/icdar.2019.0020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6</cp:revision>
  <dcterms:created xsi:type="dcterms:W3CDTF">2023-10-05T01:23:00Z</dcterms:created>
  <dcterms:modified xsi:type="dcterms:W3CDTF">2023-10-05T01:34:00Z</dcterms:modified>
</cp:coreProperties>
</file>