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D5D" w:rsidRPr="00B45D5D" w:rsidRDefault="00B45D5D" w:rsidP="00B45D5D">
      <w:pPr>
        <w:shd w:val="clear" w:color="auto" w:fill="FFFFFF"/>
        <w:spacing w:after="100" w:afterAutospacing="1"/>
        <w:jc w:val="center"/>
        <w:outlineLvl w:val="3"/>
        <w:rPr>
          <w:rFonts w:ascii="Segoe UI" w:eastAsia="Times New Roman" w:hAnsi="Segoe UI" w:cs="Segoe UI"/>
          <w:b/>
          <w:bCs/>
          <w:color w:val="212529"/>
        </w:rPr>
      </w:pPr>
      <w:r w:rsidRPr="00B45D5D">
        <w:rPr>
          <w:rFonts w:ascii="var(--bs-font-monospace)" w:eastAsia="Times New Roman" w:hAnsi="var(--bs-font-monospace)" w:cs="Courier New"/>
          <w:b/>
          <w:bCs/>
          <w:color w:val="212529"/>
          <w:sz w:val="21"/>
          <w:szCs w:val="21"/>
        </w:rPr>
        <w:t>Evaluating Sequence-to-Sequence Models for Handwritten Text Recognition</w:t>
      </w:r>
    </w:p>
    <w:p w:rsidR="00B45D5D" w:rsidRPr="00B45D5D" w:rsidRDefault="00B45D5D" w:rsidP="00B45D5D">
      <w:pPr>
        <w:rPr>
          <w:b/>
          <w:bCs/>
          <w:lang w:val="en-US"/>
        </w:rPr>
      </w:pPr>
      <w:r w:rsidRPr="00B45D5D">
        <w:rPr>
          <w:b/>
          <w:bCs/>
          <w:lang w:val="en-US"/>
        </w:rPr>
        <w:t>Handwritten text recognition</w:t>
      </w:r>
    </w:p>
    <w:p w:rsidR="00B45D5D" w:rsidRDefault="00B45D5D" w:rsidP="00B45D5D">
      <w:pPr>
        <w:rPr>
          <w:lang w:val="en-US"/>
        </w:rPr>
      </w:pPr>
      <w:r w:rsidRPr="00B45D5D">
        <w:rPr>
          <w:lang w:val="en-US"/>
        </w:rPr>
        <w:t>This section of the document discusses the evaluation of sequence-to-sequence models for handwritten text recognition. The authors propose an attention-based sequence-to-sequence model that combines a convolutional neural network (CNN) and a recurrent neural network (RNN) to encode both the visual information and the temporal context between characters in the input image. The model also uses a separate RNN to decode the actual character sequence. The authors compare various attention mechanisms and positional encodings to find the best alignment between the input and output sequences. The model can be trained end-to-end and achieves competitive results on handwritten text recognition data sets. The section also provides an overview of related work in the field and describes the proposed methodology in more detail, including the encoder, decoder, and attention components of the model.</w:t>
      </w:r>
    </w:p>
    <w:p w:rsidR="00B45D5D" w:rsidRPr="00B45D5D" w:rsidRDefault="00B45D5D" w:rsidP="00B45D5D">
      <w:pPr>
        <w:rPr>
          <w:lang w:val="en-US"/>
        </w:rPr>
      </w:pPr>
    </w:p>
    <w:p w:rsidR="00B45D5D" w:rsidRPr="00B45D5D" w:rsidRDefault="00B45D5D" w:rsidP="00B45D5D">
      <w:pPr>
        <w:rPr>
          <w:b/>
          <w:bCs/>
          <w:lang w:val="en-US"/>
        </w:rPr>
      </w:pPr>
      <w:r w:rsidRPr="00B45D5D">
        <w:rPr>
          <w:b/>
          <w:bCs/>
          <w:lang w:val="en-US"/>
        </w:rPr>
        <w:t>Decoder Implementation: LSTM-based sequence generation using attention mechanisms and positional encoding.</w:t>
      </w:r>
    </w:p>
    <w:p w:rsidR="00B45D5D" w:rsidRPr="00B45D5D" w:rsidRDefault="00B45D5D" w:rsidP="00B45D5D">
      <w:pPr>
        <w:rPr>
          <w:lang w:val="en-US"/>
        </w:rPr>
      </w:pPr>
      <w:r w:rsidRPr="00B45D5D">
        <w:rPr>
          <w:lang w:val="en-US"/>
        </w:rPr>
        <w:t xml:space="preserve">Section B of the document describes the implementation of the decoder in a sequence-to-sequence model. It explains that the decoder is a unidirectional LSTM layer that generates the target character sequence based on its previous predictions and a context vector that contains information from the encoded features. The decoder computes a probability distribution over possible characters and predicts the most probable character at each time step. It also mentions that the decoder LSTM is initialized with a zero state instead of the final state of the encoder BLSTM. Section C discusses different attention mechanisms used in the model to modify the context vector at each time step based on the decoder's hidden state and the encoded features. It explains six different types of attention mechanisms, including content-based attention, penalized attention, location-based attention, monotonic attention, </w:t>
      </w:r>
      <w:proofErr w:type="spellStart"/>
      <w:r w:rsidRPr="00B45D5D">
        <w:rPr>
          <w:lang w:val="en-US"/>
        </w:rPr>
        <w:t>chunkwise</w:t>
      </w:r>
      <w:proofErr w:type="spellEnd"/>
      <w:r w:rsidRPr="00B45D5D">
        <w:rPr>
          <w:lang w:val="en-US"/>
        </w:rPr>
        <w:t xml:space="preserve"> attention, and hybrid attention. Section D covers positional encoding, which adds information about the relative or absolute position of the tokens in the sequence. It explains two approaches for positional encoding: using fixed sine and cosine functions or using an embedding matrix to retrieve learned positional encodings. Section E explains the training process of the model, which involves minimizing the cross-entropy loss and potentially integrating the CTC loss for further tuning of the encoder. It also mentions the possibility of introducing local objectives for intermediate layers. Finally, the section ends with information about the implementation details of the model, including the architecture of the encoder and decoder, the different attention mechanisms used, and the training process.</w:t>
      </w:r>
    </w:p>
    <w:p w:rsidR="00B45D5D" w:rsidRDefault="00B45D5D" w:rsidP="00B45D5D">
      <w:pPr>
        <w:rPr>
          <w:lang w:val="en-US"/>
        </w:rPr>
      </w:pPr>
    </w:p>
    <w:p w:rsidR="00B45D5D" w:rsidRPr="00B45D5D" w:rsidRDefault="00B45D5D" w:rsidP="00B45D5D">
      <w:pPr>
        <w:rPr>
          <w:b/>
          <w:bCs/>
          <w:lang w:val="en-US"/>
        </w:rPr>
      </w:pPr>
      <w:r w:rsidRPr="00B45D5D">
        <w:rPr>
          <w:b/>
          <w:bCs/>
          <w:lang w:val="en-US"/>
        </w:rPr>
        <w:t>Experimental HTR evaluation</w:t>
      </w:r>
    </w:p>
    <w:p w:rsidR="00B45D5D" w:rsidRPr="00B45D5D" w:rsidRDefault="00B45D5D" w:rsidP="00B45D5D">
      <w:pPr>
        <w:rPr>
          <w:lang w:val="en-US"/>
        </w:rPr>
      </w:pPr>
      <w:r w:rsidRPr="00B45D5D">
        <w:rPr>
          <w:lang w:val="en-US"/>
        </w:rPr>
        <w:t xml:space="preserve">This section of the document discusses the experimental evaluation of a handwriting text recognition (HTR) model. It begins by describing the datasets used for evaluation, including the IAM Handwriting Database and the ICFHR2016 READ dataset. The section then presents the results of the experiments conducted on the IAM dataset. </w:t>
      </w:r>
    </w:p>
    <w:p w:rsidR="00B45D5D" w:rsidRPr="00B45D5D" w:rsidRDefault="00B45D5D" w:rsidP="00B45D5D">
      <w:pPr>
        <w:rPr>
          <w:lang w:val="en-US"/>
        </w:rPr>
      </w:pPr>
    </w:p>
    <w:p w:rsidR="00B45D5D" w:rsidRPr="00B45D5D" w:rsidRDefault="00B45D5D" w:rsidP="00B45D5D">
      <w:pPr>
        <w:rPr>
          <w:lang w:val="en-US"/>
        </w:rPr>
      </w:pPr>
      <w:r w:rsidRPr="00B45D5D">
        <w:rPr>
          <w:lang w:val="en-US"/>
        </w:rPr>
        <w:t xml:space="preserve">The first experiment involves a fixed encoder, where the weights of a CTC-pretrained model are fed into the encoder part of the Seq2Seq model and kept constant during training. However, </w:t>
      </w:r>
      <w:r w:rsidRPr="00B45D5D">
        <w:rPr>
          <w:lang w:val="en-US"/>
        </w:rPr>
        <w:lastRenderedPageBreak/>
        <w:t>the results of this setup are not satisfactory, with the decoder producing arbitrary and repeated text snippets. Different attention mechanisms and positional encoding methods are also tried, but they do not improve the overall performance.</w:t>
      </w:r>
    </w:p>
    <w:p w:rsidR="00B45D5D" w:rsidRPr="00B45D5D" w:rsidRDefault="00B45D5D" w:rsidP="00B45D5D">
      <w:pPr>
        <w:rPr>
          <w:lang w:val="en-US"/>
        </w:rPr>
      </w:pPr>
    </w:p>
    <w:p w:rsidR="00B45D5D" w:rsidRPr="00B45D5D" w:rsidRDefault="00B45D5D" w:rsidP="00B45D5D">
      <w:pPr>
        <w:rPr>
          <w:lang w:val="en-US"/>
        </w:rPr>
      </w:pPr>
      <w:r w:rsidRPr="00B45D5D">
        <w:rPr>
          <w:lang w:val="en-US"/>
        </w:rPr>
        <w:t>To address these issues, a hybrid loss approach is used, where the encoder parameters are allowed to adapt during training. This approach combines cross-entropy and CTC loss functions, with equal weighting. Multiple experiments are conducted to find the best setup, including different attention mechanisms and positional encodings. The results show that this setup improves the decoder's performance and slightly enhances the encoder's performance compared to the standalone model.</w:t>
      </w:r>
    </w:p>
    <w:p w:rsidR="00B45D5D" w:rsidRPr="00B45D5D" w:rsidRDefault="00B45D5D" w:rsidP="00B45D5D">
      <w:pPr>
        <w:rPr>
          <w:lang w:val="en-US"/>
        </w:rPr>
      </w:pPr>
    </w:p>
    <w:p w:rsidR="00B45D5D" w:rsidRPr="00B45D5D" w:rsidRDefault="00B45D5D" w:rsidP="00B45D5D">
      <w:pPr>
        <w:rPr>
          <w:lang w:val="en-US"/>
        </w:rPr>
      </w:pPr>
      <w:r w:rsidRPr="00B45D5D">
        <w:rPr>
          <w:lang w:val="en-US"/>
        </w:rPr>
        <w:t xml:space="preserve">Miscellaneous experiments are also conducted, including variations of the hybrid loss approach and the use of different attention scoring functions and gradient clipping. The results show that hybrid monotonic attention performs better than hybrid </w:t>
      </w:r>
      <w:proofErr w:type="spellStart"/>
      <w:r w:rsidRPr="00B45D5D">
        <w:rPr>
          <w:lang w:val="en-US"/>
        </w:rPr>
        <w:t>chunkwise</w:t>
      </w:r>
      <w:proofErr w:type="spellEnd"/>
      <w:r w:rsidRPr="00B45D5D">
        <w:rPr>
          <w:lang w:val="en-US"/>
        </w:rPr>
        <w:t xml:space="preserve"> attention, and learned positional encodings are more effective than fixed ones. Dropping the hybrid loss approach leads to a decrease in the encoder's text-predictive power.</w:t>
      </w:r>
    </w:p>
    <w:p w:rsidR="00B45D5D" w:rsidRPr="00B45D5D" w:rsidRDefault="00B45D5D" w:rsidP="00B45D5D">
      <w:pPr>
        <w:rPr>
          <w:lang w:val="en-US"/>
        </w:rPr>
      </w:pPr>
    </w:p>
    <w:p w:rsidR="00B45D5D" w:rsidRPr="00B45D5D" w:rsidRDefault="00B45D5D" w:rsidP="00B45D5D">
      <w:pPr>
        <w:rPr>
          <w:lang w:val="en-US"/>
        </w:rPr>
      </w:pPr>
      <w:r w:rsidRPr="00B45D5D">
        <w:rPr>
          <w:lang w:val="en-US"/>
        </w:rPr>
        <w:t>Overall, the experiments demonstrate the effectiveness of the hybrid loss approach in improving HTR performance, while also highlighting the importance of attention mechanisms and positional encoding in achieving accurate text recognition.</w:t>
      </w:r>
    </w:p>
    <w:p w:rsidR="00B45D5D" w:rsidRDefault="00B45D5D" w:rsidP="00B45D5D">
      <w:pPr>
        <w:rPr>
          <w:lang w:val="en-US"/>
        </w:rPr>
      </w:pPr>
    </w:p>
    <w:p w:rsidR="00B45D5D" w:rsidRPr="00B45D5D" w:rsidRDefault="00B45D5D" w:rsidP="00B45D5D">
      <w:pPr>
        <w:rPr>
          <w:b/>
          <w:bCs/>
          <w:lang w:val="en-US"/>
        </w:rPr>
      </w:pPr>
      <w:r w:rsidRPr="00B45D5D">
        <w:rPr>
          <w:b/>
          <w:bCs/>
          <w:lang w:val="en-US"/>
        </w:rPr>
        <w:t>Attention-based HTR performance.</w:t>
      </w:r>
    </w:p>
    <w:p w:rsidR="00F033D5" w:rsidRDefault="00B45D5D" w:rsidP="00B45D5D">
      <w:pPr>
        <w:rPr>
          <w:lang w:val="en-US"/>
        </w:rPr>
      </w:pPr>
      <w:r w:rsidRPr="00B45D5D">
        <w:rPr>
          <w:lang w:val="en-US"/>
        </w:rPr>
        <w:t xml:space="preserve">Section number 0 of the document summarizes the results for the final model, which is an attention-based Seq2Seq architecture for handwritten text recognition (HTR). The table provides the Character Error Rate (CER) for both the encoder and the decoder on different data sets. The results show that the model performs well on the IAM and </w:t>
      </w:r>
      <w:proofErr w:type="spellStart"/>
      <w:r w:rsidRPr="00B45D5D">
        <w:rPr>
          <w:lang w:val="en-US"/>
        </w:rPr>
        <w:t>Bozen</w:t>
      </w:r>
      <w:proofErr w:type="spellEnd"/>
      <w:r w:rsidRPr="00B45D5D">
        <w:rPr>
          <w:lang w:val="en-US"/>
        </w:rPr>
        <w:t xml:space="preserve"> data sets, achieving an average CER of 4.87% and 4.66% respectively. The section also mentions that the model is flexible in terms of input subsampling and alignment between input and output sequences. The section concludes by stating that the model's performance is competitive with the state-of-the-art on handwriting data sets.</w:t>
      </w:r>
    </w:p>
    <w:p w:rsidR="00B45D5D" w:rsidRDefault="00B45D5D" w:rsidP="00B45D5D">
      <w:pPr>
        <w:rPr>
          <w:lang w:val="en-US"/>
        </w:rPr>
      </w:pPr>
    </w:p>
    <w:p w:rsidR="00B45D5D" w:rsidRPr="00B45D5D" w:rsidRDefault="00B45D5D" w:rsidP="00B45D5D">
      <w:pPr>
        <w:pStyle w:val="Heading4"/>
        <w:shd w:val="clear" w:color="auto" w:fill="FFFFFF"/>
        <w:spacing w:before="0" w:beforeAutospacing="0"/>
        <w:jc w:val="center"/>
        <w:rPr>
          <w:rFonts w:ascii="var(--bs-font-monospace)" w:hAnsi="var(--bs-font-monospace)" w:cs="Courier New"/>
          <w:color w:val="212529"/>
          <w:sz w:val="21"/>
          <w:szCs w:val="21"/>
        </w:rPr>
      </w:pPr>
      <w:r w:rsidRPr="00B45D5D">
        <w:rPr>
          <w:rStyle w:val="HTMLCode"/>
          <w:rFonts w:ascii="var(--bs-font-monospace)" w:hAnsi="var(--bs-font-monospace)"/>
          <w:color w:val="212529"/>
          <w:sz w:val="21"/>
          <w:szCs w:val="21"/>
        </w:rPr>
        <w:t>Sentence-Level Grammatical Error Identification as Sequence-to-Sequence Correction</w:t>
      </w:r>
    </w:p>
    <w:p w:rsidR="00B45D5D" w:rsidRPr="00B45D5D" w:rsidRDefault="00B45D5D" w:rsidP="00B45D5D">
      <w:pPr>
        <w:rPr>
          <w:b/>
          <w:bCs/>
          <w:lang w:val="en-US"/>
        </w:rPr>
      </w:pPr>
      <w:r w:rsidRPr="00B45D5D">
        <w:rPr>
          <w:b/>
          <w:bCs/>
          <w:lang w:val="en-US"/>
        </w:rPr>
        <w:t>Data-driven error correction.</w:t>
      </w:r>
    </w:p>
    <w:p w:rsidR="00B45D5D" w:rsidRPr="00B45D5D" w:rsidRDefault="00B45D5D" w:rsidP="00B45D5D">
      <w:pPr>
        <w:rPr>
          <w:lang w:val="en-US"/>
        </w:rPr>
      </w:pPr>
      <w:r w:rsidRPr="00B45D5D">
        <w:rPr>
          <w:lang w:val="en-US"/>
        </w:rPr>
        <w:t>This section introduces the topic of sentence-level grammatical error identification and correction. The authors propose a data-driven approach using an attention-based encoder-decoder model. They demonstrate the effectiveness of a character-based encoder-decoder model in identifying and correcting errors. The model is tested on a dataset of scientific journal articles and achieves high performance on the binary prediction task. The section also provides background information on sequence-to-sequence learning and previous work in grammatical error identification and correction. The authors describe the dataset and task in detail, and discuss related work and models used in the study.</w:t>
      </w:r>
    </w:p>
    <w:p w:rsidR="00B45D5D" w:rsidRDefault="00B45D5D" w:rsidP="00B45D5D">
      <w:pPr>
        <w:rPr>
          <w:lang w:val="en-US"/>
        </w:rPr>
      </w:pPr>
    </w:p>
    <w:p w:rsidR="00B45D5D" w:rsidRDefault="00B45D5D" w:rsidP="00B45D5D">
      <w:pPr>
        <w:rPr>
          <w:lang w:val="en-US"/>
        </w:rPr>
      </w:pPr>
    </w:p>
    <w:p w:rsidR="00B45D5D" w:rsidRPr="00B45D5D" w:rsidRDefault="00B45D5D" w:rsidP="00B45D5D">
      <w:pPr>
        <w:rPr>
          <w:b/>
          <w:bCs/>
          <w:lang w:val="en-US"/>
        </w:rPr>
      </w:pPr>
      <w:r w:rsidRPr="00B45D5D">
        <w:rPr>
          <w:b/>
          <w:bCs/>
          <w:lang w:val="en-US"/>
        </w:rPr>
        <w:lastRenderedPageBreak/>
        <w:t>Translation architecture overview.</w:t>
      </w:r>
    </w:p>
    <w:p w:rsidR="00B45D5D" w:rsidRDefault="00B45D5D" w:rsidP="00B45D5D">
      <w:pPr>
        <w:rPr>
          <w:lang w:val="en-US"/>
        </w:rPr>
      </w:pPr>
      <w:r w:rsidRPr="00B45D5D">
        <w:rPr>
          <w:lang w:val="en-US"/>
        </w:rPr>
        <w:t>This section of the document provides an overview of the architecture of the C HAR model for translating sentences. It discusses the use of a CNN for obtaining a fixed-dimensional representation of a word, a highway network for transforming the word embeddings, and an LSTM encoder/decoder for generating the translated sentence. It also explains the attention mechanism used to align the hidden states of the encoder and decoder. The section then describes the character convolutional neural network (</w:t>
      </w:r>
      <w:proofErr w:type="spellStart"/>
      <w:r w:rsidRPr="00B45D5D">
        <w:rPr>
          <w:lang w:val="en-US"/>
        </w:rPr>
        <w:t>CharCNN</w:t>
      </w:r>
      <w:proofErr w:type="spellEnd"/>
      <w:r w:rsidRPr="00B45D5D">
        <w:rPr>
          <w:lang w:val="en-US"/>
        </w:rPr>
        <w:t>) used in the C HAR models and the highway network used to transform the word embeddings. Finally, it discusses the inference and training processes, including the data used, the training approaches, and the tuning process.</w:t>
      </w:r>
    </w:p>
    <w:p w:rsidR="00B45D5D" w:rsidRPr="00B45D5D" w:rsidRDefault="00B45D5D" w:rsidP="00B45D5D">
      <w:pPr>
        <w:rPr>
          <w:lang w:val="en-US"/>
        </w:rPr>
      </w:pPr>
    </w:p>
    <w:p w:rsidR="00B45D5D" w:rsidRPr="00B45D5D" w:rsidRDefault="00B45D5D" w:rsidP="00B45D5D">
      <w:pPr>
        <w:rPr>
          <w:b/>
          <w:bCs/>
          <w:lang w:val="en-US"/>
        </w:rPr>
      </w:pPr>
      <w:r w:rsidRPr="00B45D5D">
        <w:rPr>
          <w:b/>
          <w:bCs/>
          <w:lang w:val="en-US"/>
        </w:rPr>
        <w:t>Models outperform classifiers. Character-based models perform better. Bias weight adjustment.</w:t>
      </w:r>
    </w:p>
    <w:p w:rsidR="00B45D5D" w:rsidRDefault="00B45D5D" w:rsidP="00B45D5D">
      <w:pPr>
        <w:rPr>
          <w:lang w:val="en-US"/>
        </w:rPr>
      </w:pPr>
      <w:r w:rsidRPr="00B45D5D">
        <w:rPr>
          <w:lang w:val="en-US"/>
        </w:rPr>
        <w:t>This section of the document discusses the results of the experiments conducted on the development set and the tuning set. The results of the experiments on the development set show that the encoder-decoder models perform better than the CNN classifiers, even though the CNN classifiers have additional data. The results also show that the character-based models yield better results than the word-based models. The tuning results show the importance of adjusting the bias weights associated with the annotation tags in order to maximize the F1score. The discussion section suggests that the character-based models may perform well because they are able to capture some types of orthographic errors. It also suggests that simply adding additional correct source-target pairs when training the encoder-decoder models may not significantly improve performance. The section concludes by discussing directions for future work, such as examining alternative approaches for training with additional correct sentences and analyzing the generation quality of the encoder-decoder models.</w:t>
      </w:r>
    </w:p>
    <w:p w:rsidR="00B45D5D" w:rsidRDefault="00B45D5D" w:rsidP="00B45D5D">
      <w:pPr>
        <w:rPr>
          <w:lang w:val="en-US"/>
        </w:rPr>
      </w:pPr>
    </w:p>
    <w:p w:rsidR="00B45D5D" w:rsidRPr="00B45D5D" w:rsidRDefault="00B45D5D" w:rsidP="00B45D5D">
      <w:pPr>
        <w:pStyle w:val="Heading4"/>
        <w:shd w:val="clear" w:color="auto" w:fill="FFFFFF"/>
        <w:spacing w:before="0" w:beforeAutospacing="0"/>
        <w:jc w:val="center"/>
        <w:rPr>
          <w:rFonts w:ascii="Segoe UI" w:hAnsi="Segoe UI" w:cs="Segoe UI"/>
          <w:color w:val="212529"/>
        </w:rPr>
      </w:pPr>
      <w:r w:rsidRPr="00B45D5D">
        <w:rPr>
          <w:rStyle w:val="HTMLCode"/>
          <w:rFonts w:ascii="var(--bs-font-monospace)" w:hAnsi="var(--bs-font-monospace)"/>
          <w:color w:val="212529"/>
          <w:sz w:val="21"/>
          <w:szCs w:val="21"/>
        </w:rPr>
        <w:t>Understanding How Encoder-Decoder Architectures Attend</w:t>
      </w:r>
    </w:p>
    <w:p w:rsidR="00B45D5D" w:rsidRPr="00B45D5D" w:rsidRDefault="00B45D5D" w:rsidP="00B45D5D">
      <w:pPr>
        <w:rPr>
          <w:b/>
          <w:bCs/>
          <w:lang w:val="en-US"/>
        </w:rPr>
      </w:pPr>
      <w:r w:rsidRPr="00B45D5D">
        <w:rPr>
          <w:b/>
          <w:bCs/>
          <w:lang w:val="en-US"/>
        </w:rPr>
        <w:t>Understanding attention mechanisms</w:t>
      </w:r>
    </w:p>
    <w:p w:rsidR="00B45D5D" w:rsidRDefault="00B45D5D" w:rsidP="00B45D5D">
      <w:pPr>
        <w:rPr>
          <w:lang w:val="en-US"/>
        </w:rPr>
      </w:pPr>
      <w:r w:rsidRPr="00B45D5D">
        <w:rPr>
          <w:lang w:val="en-US"/>
        </w:rPr>
        <w:t>This section of the document discusses the understanding of how encoder-decoder architectures with attention work. The authors investigate the mechanisms used by these networks to generate attention matrices and how these mechanisms vary depending on the architecture used. They propose a decomposition of hidden states into temporal and input-driven components, which helps understand the behavior of networks with attention. The authors analyze three different encoder-decoder architectures and demonstrate how the decomposition aids in understanding the dynamics of attention. They also discuss the dynamics of architectures with attention and/or recurrence. The section concludes by outlining the next steps of the analysis.</w:t>
      </w:r>
    </w:p>
    <w:p w:rsidR="00B45D5D" w:rsidRPr="00B45D5D" w:rsidRDefault="00B45D5D" w:rsidP="00B45D5D">
      <w:pPr>
        <w:rPr>
          <w:lang w:val="en-US"/>
        </w:rPr>
      </w:pPr>
    </w:p>
    <w:p w:rsidR="00B45D5D" w:rsidRPr="00B45D5D" w:rsidRDefault="00B45D5D" w:rsidP="00B45D5D">
      <w:pPr>
        <w:rPr>
          <w:b/>
          <w:bCs/>
          <w:lang w:val="en-US"/>
        </w:rPr>
      </w:pPr>
      <w:r w:rsidRPr="00B45D5D">
        <w:rPr>
          <w:b/>
          <w:bCs/>
          <w:lang w:val="en-US"/>
        </w:rPr>
        <w:t>Attention dynamics analyzed.</w:t>
      </w:r>
    </w:p>
    <w:p w:rsidR="00B45D5D" w:rsidRPr="00B45D5D" w:rsidRDefault="00B45D5D" w:rsidP="00B45D5D">
      <w:pPr>
        <w:rPr>
          <w:lang w:val="en-US"/>
        </w:rPr>
      </w:pPr>
      <w:r w:rsidRPr="00B45D5D">
        <w:rPr>
          <w:lang w:val="en-US"/>
        </w:rPr>
        <w:t xml:space="preserve">This section of the document discusses the dynamics and results of different neural network architectures trained on various tasks. The first task discussed is one-to-one translation, where the input phrases have variable length but the outputs always have the same length as their input. The AED (Encoder-Decoder with Attention) architecture and the AO (Attention Only) </w:t>
      </w:r>
      <w:r w:rsidRPr="00B45D5D">
        <w:rPr>
          <w:lang w:val="en-US"/>
        </w:rPr>
        <w:lastRenderedPageBreak/>
        <w:t>architecture are both able to solve this task successfully. The temporal components of the encoder and decoder form approximate circles as their inputs are read in, and the encoder and decoder are closest to alignment when their respective time steps are the same. The input components of the encoder and decoder are clustered close to their corresponding input components, and the readout vectors align with the input components of their translated input words. The network learns an approximately diagonal attention matrix for this task.</w:t>
      </w:r>
    </w:p>
    <w:p w:rsidR="00B45D5D" w:rsidRPr="00B45D5D" w:rsidRDefault="00B45D5D" w:rsidP="00B45D5D">
      <w:pPr>
        <w:rPr>
          <w:lang w:val="en-US"/>
        </w:rPr>
      </w:pPr>
    </w:p>
    <w:p w:rsidR="00B45D5D" w:rsidRPr="00B45D5D" w:rsidRDefault="00B45D5D" w:rsidP="00B45D5D">
      <w:pPr>
        <w:rPr>
          <w:lang w:val="en-US"/>
        </w:rPr>
      </w:pPr>
      <w:r w:rsidRPr="00B45D5D">
        <w:rPr>
          <w:lang w:val="en-US"/>
        </w:rPr>
        <w:t>The section also discusses the dynamics and results of the AO architecture on the extended SCAN (</w:t>
      </w:r>
      <w:proofErr w:type="spellStart"/>
      <w:r w:rsidRPr="00B45D5D">
        <w:rPr>
          <w:lang w:val="en-US"/>
        </w:rPr>
        <w:t>eSCAN</w:t>
      </w:r>
      <w:proofErr w:type="spellEnd"/>
      <w:r w:rsidRPr="00B45D5D">
        <w:rPr>
          <w:lang w:val="en-US"/>
        </w:rPr>
        <w:t xml:space="preserve">) dataset, which is a modified version of the SCAN dataset. The AO architecture achieves high word accuracy on </w:t>
      </w:r>
      <w:proofErr w:type="spellStart"/>
      <w:r w:rsidRPr="00B45D5D">
        <w:rPr>
          <w:lang w:val="en-US"/>
        </w:rPr>
        <w:t>eSCAN</w:t>
      </w:r>
      <w:proofErr w:type="spellEnd"/>
      <w:r w:rsidRPr="00B45D5D">
        <w:rPr>
          <w:lang w:val="en-US"/>
        </w:rPr>
        <w:t>, and the attention matrices for this task exhibit non-diagonal patterns. The temporal components of the encoder and decoder trace out paths that roughly follow each other, and the input-delta components are clustered around their corresponding input components. The readouts of specific outputs align well with the input components of their corresponding input words.</w:t>
      </w:r>
    </w:p>
    <w:p w:rsidR="00B45D5D" w:rsidRPr="00B45D5D" w:rsidRDefault="00B45D5D" w:rsidP="00B45D5D">
      <w:pPr>
        <w:rPr>
          <w:lang w:val="en-US"/>
        </w:rPr>
      </w:pPr>
    </w:p>
    <w:p w:rsidR="00B45D5D" w:rsidRPr="00B45D5D" w:rsidRDefault="00B45D5D" w:rsidP="00B45D5D">
      <w:pPr>
        <w:rPr>
          <w:lang w:val="en-US"/>
        </w:rPr>
      </w:pPr>
      <w:r w:rsidRPr="00B45D5D">
        <w:rPr>
          <w:lang w:val="en-US"/>
        </w:rPr>
        <w:t>Lastly, the section addresses the dynamics and results of the AED and AO architectures trained on English to French translation. The attention matrices for this task are close to diagonal, and the temporal components of the encoder and decoder continue to trace out similar curves. The alignment resulting from the temporal components is less diagonal compared to the one-to-one task, indicating that the network relies less on temporal component alignments. The dot product between the input components and the readout vectors implements the translation dictionary.</w:t>
      </w:r>
    </w:p>
    <w:p w:rsidR="00B45D5D" w:rsidRPr="00B45D5D" w:rsidRDefault="00B45D5D" w:rsidP="00B45D5D">
      <w:pPr>
        <w:rPr>
          <w:lang w:val="en-US"/>
        </w:rPr>
      </w:pPr>
    </w:p>
    <w:p w:rsidR="00B45D5D" w:rsidRPr="004B54B4" w:rsidRDefault="00B45D5D" w:rsidP="00B45D5D">
      <w:pPr>
        <w:rPr>
          <w:lang w:val="en-US"/>
        </w:rPr>
      </w:pPr>
      <w:r w:rsidRPr="00B45D5D">
        <w:rPr>
          <w:lang w:val="en-US"/>
        </w:rPr>
        <w:t>Overall, the section provides insights into the dynamics and performance of different neural network architectures on various tasks, highlighting the role of attention and temporal and input components.</w:t>
      </w:r>
    </w:p>
    <w:sectPr w:rsidR="00B45D5D" w:rsidRPr="004B5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B4"/>
    <w:rsid w:val="000B0C33"/>
    <w:rsid w:val="004B54B4"/>
    <w:rsid w:val="005F42EB"/>
    <w:rsid w:val="00B45D5D"/>
    <w:rsid w:val="00D306F5"/>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D2BA"/>
  <w15:chartTrackingRefBased/>
  <w15:docId w15:val="{995A0105-4D88-F74A-A734-F0998049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45D5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5D5D"/>
    <w:rPr>
      <w:rFonts w:ascii="Times New Roman" w:eastAsia="Times New Roman" w:hAnsi="Times New Roman" w:cs="Times New Roman"/>
      <w:b/>
      <w:bCs/>
    </w:rPr>
  </w:style>
  <w:style w:type="character" w:styleId="HTMLCode">
    <w:name w:val="HTML Code"/>
    <w:basedOn w:val="DefaultParagraphFont"/>
    <w:uiPriority w:val="99"/>
    <w:semiHidden/>
    <w:unhideWhenUsed/>
    <w:rsid w:val="00B45D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633295">
      <w:bodyDiv w:val="1"/>
      <w:marLeft w:val="0"/>
      <w:marRight w:val="0"/>
      <w:marTop w:val="0"/>
      <w:marBottom w:val="0"/>
      <w:divBdr>
        <w:top w:val="none" w:sz="0" w:space="0" w:color="auto"/>
        <w:left w:val="none" w:sz="0" w:space="0" w:color="auto"/>
        <w:bottom w:val="none" w:sz="0" w:space="0" w:color="auto"/>
        <w:right w:val="none" w:sz="0" w:space="0" w:color="auto"/>
      </w:divBdr>
      <w:divsChild>
        <w:div w:id="1165782515">
          <w:marLeft w:val="0"/>
          <w:marRight w:val="0"/>
          <w:marTop w:val="0"/>
          <w:marBottom w:val="0"/>
          <w:divBdr>
            <w:top w:val="none" w:sz="0" w:space="0" w:color="auto"/>
            <w:left w:val="none" w:sz="0" w:space="0" w:color="auto"/>
            <w:bottom w:val="none" w:sz="0" w:space="0" w:color="auto"/>
            <w:right w:val="none" w:sz="0" w:space="0" w:color="auto"/>
          </w:divBdr>
          <w:divsChild>
            <w:div w:id="1829902709">
              <w:marLeft w:val="0"/>
              <w:marRight w:val="0"/>
              <w:marTop w:val="225"/>
              <w:marBottom w:val="0"/>
              <w:divBdr>
                <w:top w:val="none" w:sz="0" w:space="0" w:color="auto"/>
                <w:left w:val="none" w:sz="0" w:space="0" w:color="auto"/>
                <w:bottom w:val="none" w:sz="0" w:space="0" w:color="auto"/>
                <w:right w:val="none" w:sz="0" w:space="0" w:color="auto"/>
              </w:divBdr>
            </w:div>
            <w:div w:id="2122531753">
              <w:marLeft w:val="0"/>
              <w:marRight w:val="0"/>
              <w:marTop w:val="0"/>
              <w:marBottom w:val="0"/>
              <w:divBdr>
                <w:top w:val="none" w:sz="0" w:space="0" w:color="auto"/>
                <w:left w:val="none" w:sz="0" w:space="0" w:color="auto"/>
                <w:bottom w:val="none" w:sz="0" w:space="0" w:color="auto"/>
                <w:right w:val="none" w:sz="0" w:space="0" w:color="auto"/>
              </w:divBdr>
            </w:div>
          </w:divsChild>
        </w:div>
        <w:div w:id="723722292">
          <w:marLeft w:val="0"/>
          <w:marRight w:val="0"/>
          <w:marTop w:val="300"/>
          <w:marBottom w:val="0"/>
          <w:divBdr>
            <w:top w:val="none" w:sz="0" w:space="0" w:color="auto"/>
            <w:left w:val="none" w:sz="0" w:space="0" w:color="auto"/>
            <w:bottom w:val="none" w:sz="0" w:space="0" w:color="auto"/>
            <w:right w:val="none" w:sz="0" w:space="0" w:color="auto"/>
          </w:divBdr>
          <w:divsChild>
            <w:div w:id="885290310">
              <w:marLeft w:val="0"/>
              <w:marRight w:val="0"/>
              <w:marTop w:val="225"/>
              <w:marBottom w:val="0"/>
              <w:divBdr>
                <w:top w:val="none" w:sz="0" w:space="0" w:color="auto"/>
                <w:left w:val="none" w:sz="0" w:space="0" w:color="auto"/>
                <w:bottom w:val="none" w:sz="0" w:space="0" w:color="auto"/>
                <w:right w:val="none" w:sz="0" w:space="0" w:color="auto"/>
              </w:divBdr>
            </w:div>
          </w:divsChild>
        </w:div>
        <w:div w:id="1590653060">
          <w:marLeft w:val="0"/>
          <w:marRight w:val="0"/>
          <w:marTop w:val="300"/>
          <w:marBottom w:val="0"/>
          <w:divBdr>
            <w:top w:val="none" w:sz="0" w:space="0" w:color="auto"/>
            <w:left w:val="none" w:sz="0" w:space="0" w:color="auto"/>
            <w:bottom w:val="none" w:sz="0" w:space="0" w:color="auto"/>
            <w:right w:val="none" w:sz="0" w:space="0" w:color="auto"/>
          </w:divBdr>
          <w:divsChild>
            <w:div w:id="1903052297">
              <w:marLeft w:val="0"/>
              <w:marRight w:val="0"/>
              <w:marTop w:val="225"/>
              <w:marBottom w:val="0"/>
              <w:divBdr>
                <w:top w:val="none" w:sz="0" w:space="0" w:color="auto"/>
                <w:left w:val="none" w:sz="0" w:space="0" w:color="auto"/>
                <w:bottom w:val="none" w:sz="0" w:space="0" w:color="auto"/>
                <w:right w:val="none" w:sz="0" w:space="0" w:color="auto"/>
              </w:divBdr>
            </w:div>
          </w:divsChild>
        </w:div>
        <w:div w:id="790588853">
          <w:marLeft w:val="0"/>
          <w:marRight w:val="0"/>
          <w:marTop w:val="300"/>
          <w:marBottom w:val="0"/>
          <w:divBdr>
            <w:top w:val="none" w:sz="0" w:space="0" w:color="auto"/>
            <w:left w:val="none" w:sz="0" w:space="0" w:color="auto"/>
            <w:bottom w:val="none" w:sz="0" w:space="0" w:color="auto"/>
            <w:right w:val="none" w:sz="0" w:space="0" w:color="auto"/>
          </w:divBdr>
          <w:divsChild>
            <w:div w:id="724915874">
              <w:marLeft w:val="0"/>
              <w:marRight w:val="0"/>
              <w:marTop w:val="225"/>
              <w:marBottom w:val="0"/>
              <w:divBdr>
                <w:top w:val="none" w:sz="0" w:space="0" w:color="auto"/>
                <w:left w:val="none" w:sz="0" w:space="0" w:color="auto"/>
                <w:bottom w:val="none" w:sz="0" w:space="0" w:color="auto"/>
                <w:right w:val="none" w:sz="0" w:space="0" w:color="auto"/>
              </w:divBdr>
            </w:div>
          </w:divsChild>
        </w:div>
        <w:div w:id="1482696834">
          <w:marLeft w:val="0"/>
          <w:marRight w:val="0"/>
          <w:marTop w:val="300"/>
          <w:marBottom w:val="0"/>
          <w:divBdr>
            <w:top w:val="none" w:sz="0" w:space="0" w:color="auto"/>
            <w:left w:val="none" w:sz="0" w:space="0" w:color="auto"/>
            <w:bottom w:val="none" w:sz="0" w:space="0" w:color="auto"/>
            <w:right w:val="none" w:sz="0" w:space="0" w:color="auto"/>
          </w:divBdr>
          <w:divsChild>
            <w:div w:id="1452671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694505530">
      <w:bodyDiv w:val="1"/>
      <w:marLeft w:val="0"/>
      <w:marRight w:val="0"/>
      <w:marTop w:val="0"/>
      <w:marBottom w:val="0"/>
      <w:divBdr>
        <w:top w:val="none" w:sz="0" w:space="0" w:color="auto"/>
        <w:left w:val="none" w:sz="0" w:space="0" w:color="auto"/>
        <w:bottom w:val="none" w:sz="0" w:space="0" w:color="auto"/>
        <w:right w:val="none" w:sz="0" w:space="0" w:color="auto"/>
      </w:divBdr>
    </w:div>
    <w:div w:id="841317378">
      <w:bodyDiv w:val="1"/>
      <w:marLeft w:val="0"/>
      <w:marRight w:val="0"/>
      <w:marTop w:val="0"/>
      <w:marBottom w:val="0"/>
      <w:divBdr>
        <w:top w:val="none" w:sz="0" w:space="0" w:color="auto"/>
        <w:left w:val="none" w:sz="0" w:space="0" w:color="auto"/>
        <w:bottom w:val="none" w:sz="0" w:space="0" w:color="auto"/>
        <w:right w:val="none" w:sz="0" w:space="0" w:color="auto"/>
      </w:divBdr>
    </w:div>
    <w:div w:id="1519998697">
      <w:bodyDiv w:val="1"/>
      <w:marLeft w:val="0"/>
      <w:marRight w:val="0"/>
      <w:marTop w:val="0"/>
      <w:marBottom w:val="0"/>
      <w:divBdr>
        <w:top w:val="none" w:sz="0" w:space="0" w:color="auto"/>
        <w:left w:val="none" w:sz="0" w:space="0" w:color="auto"/>
        <w:bottom w:val="none" w:sz="0" w:space="0" w:color="auto"/>
        <w:right w:val="none" w:sz="0" w:space="0" w:color="auto"/>
      </w:divBdr>
      <w:divsChild>
        <w:div w:id="473330371">
          <w:marLeft w:val="0"/>
          <w:marRight w:val="0"/>
          <w:marTop w:val="300"/>
          <w:marBottom w:val="0"/>
          <w:divBdr>
            <w:top w:val="none" w:sz="0" w:space="0" w:color="auto"/>
            <w:left w:val="none" w:sz="0" w:space="0" w:color="auto"/>
            <w:bottom w:val="none" w:sz="0" w:space="0" w:color="auto"/>
            <w:right w:val="none" w:sz="0" w:space="0" w:color="auto"/>
          </w:divBdr>
          <w:divsChild>
            <w:div w:id="1232227811">
              <w:marLeft w:val="0"/>
              <w:marRight w:val="0"/>
              <w:marTop w:val="225"/>
              <w:marBottom w:val="0"/>
              <w:divBdr>
                <w:top w:val="none" w:sz="0" w:space="0" w:color="auto"/>
                <w:left w:val="none" w:sz="0" w:space="0" w:color="auto"/>
                <w:bottom w:val="none" w:sz="0" w:space="0" w:color="auto"/>
                <w:right w:val="none" w:sz="0" w:space="0" w:color="auto"/>
              </w:divBdr>
            </w:div>
          </w:divsChild>
        </w:div>
        <w:div w:id="1409108996">
          <w:marLeft w:val="0"/>
          <w:marRight w:val="0"/>
          <w:marTop w:val="300"/>
          <w:marBottom w:val="0"/>
          <w:divBdr>
            <w:top w:val="none" w:sz="0" w:space="0" w:color="auto"/>
            <w:left w:val="none" w:sz="0" w:space="0" w:color="auto"/>
            <w:bottom w:val="none" w:sz="0" w:space="0" w:color="auto"/>
            <w:right w:val="none" w:sz="0" w:space="0" w:color="auto"/>
          </w:divBdr>
          <w:divsChild>
            <w:div w:id="1387292618">
              <w:marLeft w:val="0"/>
              <w:marRight w:val="0"/>
              <w:marTop w:val="225"/>
              <w:marBottom w:val="0"/>
              <w:divBdr>
                <w:top w:val="none" w:sz="0" w:space="0" w:color="auto"/>
                <w:left w:val="none" w:sz="0" w:space="0" w:color="auto"/>
                <w:bottom w:val="none" w:sz="0" w:space="0" w:color="auto"/>
                <w:right w:val="none" w:sz="0" w:space="0" w:color="auto"/>
              </w:divBdr>
            </w:div>
          </w:divsChild>
        </w:div>
        <w:div w:id="1850758019">
          <w:marLeft w:val="0"/>
          <w:marRight w:val="0"/>
          <w:marTop w:val="300"/>
          <w:marBottom w:val="0"/>
          <w:divBdr>
            <w:top w:val="none" w:sz="0" w:space="0" w:color="auto"/>
            <w:left w:val="none" w:sz="0" w:space="0" w:color="auto"/>
            <w:bottom w:val="none" w:sz="0" w:space="0" w:color="auto"/>
            <w:right w:val="none" w:sz="0" w:space="0" w:color="auto"/>
          </w:divBdr>
          <w:divsChild>
            <w:div w:id="1586039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91960562">
      <w:bodyDiv w:val="1"/>
      <w:marLeft w:val="0"/>
      <w:marRight w:val="0"/>
      <w:marTop w:val="0"/>
      <w:marBottom w:val="0"/>
      <w:divBdr>
        <w:top w:val="none" w:sz="0" w:space="0" w:color="auto"/>
        <w:left w:val="none" w:sz="0" w:space="0" w:color="auto"/>
        <w:bottom w:val="none" w:sz="0" w:space="0" w:color="auto"/>
        <w:right w:val="none" w:sz="0" w:space="0" w:color="auto"/>
      </w:divBdr>
    </w:div>
    <w:div w:id="209894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1695</Words>
  <Characters>9663</Characters>
  <Application>Microsoft Office Word</Application>
  <DocSecurity>0</DocSecurity>
  <Lines>80</Lines>
  <Paragraphs>22</Paragraphs>
  <ScaleCrop>false</ScaleCrop>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2</cp:revision>
  <dcterms:created xsi:type="dcterms:W3CDTF">2023-10-05T01:14:00Z</dcterms:created>
  <dcterms:modified xsi:type="dcterms:W3CDTF">2023-10-05T01:21:00Z</dcterms:modified>
</cp:coreProperties>
</file>