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近代民营企业的资本化尝试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13" w:lineRule="auto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——以保晋公司为例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（经济学院 经济学类18-1班 赵之航 2018311178）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西近代最大的民营企业——保晋公司，是保矿运动的产物。近代中国积贫积弱，列强不断对华进行资源掠夺和资本输出，山西因其丰厚的矿藏资源一直被列强垂涎。1896年意大利人罗沙第在中国考察后，首先做出掠夺山西煤炭的计划，并于1897年成立在英国注册的英意联合的福公司。福公司与清山西巡抚胡聘之、知府刘鹗勾结，签订《请办晋省矿务借款合同》，攫取山西的采矿权。这样的掠夺行为引起了山西人民的强烈不满，引发了山西大规模的赎矿争矿的爱国运动。最终，福公司放弃了攫取的矿权，但条件是收取275万两赎银。与此同时，实业人士刘懋赏、冯济川、渠本翘等人筹建保晋矿务公司，并从全省各县钱粮亩捐公股和个人募集私股中拿出白银117.9万两垫付，确保了最终胜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帝国主义对华的资本输出创造了初步的资本主义商品贸易的环境，这也使得近代的民族企业进行资本化的尝试。保晋公司是民族资本主义性质的企业，相较于传统的晋商商号有着本质上的不同。保晋公司大胆地尝试了公司制，即有限责任公司的制度。《保晋矿务总公司简章》明文规定：“本公司名为股份有限公司……即有亏折，绝不向股东追移”，这极大地规避了传统合伙制中合伙人连带清偿责任所带来的风险，也使得吸收更多的社会资本成为可能。这显著地增强了企业的生命力，利于企业的发展。同时，在企业管理制度上，保晋公司也采取了公司制的形式，建立了分层管理的企业体系，对企业内部人员起到了监督和规范的作用，减少了企业的内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从保晋公司的整个发展过程来看，公司却是长期亏损，短期盈利。我们不能否认其公司制尝试给企业带来的生命力，以及其对中国近代民营企业发展的进步意义。保晋公司的破败除了帝国主义列强的掠夺和长期战乱的客观原因外，还有公司内部的主观原因等问题存在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现金流拮据，资金匮乏：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创始时从全省各县钱粮亩捐公股和个人募集私股中垫付的白银117.9万两，后被官府挪为他用。这使得公司的经营虽有渠本翘总经理和刘笃敬总经理竭力维系，但依然举步维艰。后阎锡山一共归还垫款15万两，对其余的欠款则发了一张“见义勇为”的奖状便不了了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公司高层更换频繁：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清光绪三十三年（1907）春……举渠本翘为总理、王用霖为协理……清宣统二年（1910） ，渠总理赴京供职，董事局推为主持总理，另推刘笃敬为坐办总理。清宣统三年，复推曾纪纲为协理……公司经济异常拮据，各处工程陷于停顿，渠总理、曾协理坚请辞职……民国五年（1916）七月，刘总理以年老力衰，力请辞卸，经股东会议决，公推崔廷献为总理，曾纪纲为协理……民国十一年十月，崔总理调任河东道尹，坚请辞职，董事会迭推乔殿森、乔映霞为正经理，均未就职。公司高层决断不能长期坚持，管理人员也并非将公司发展作为首要任务。这样的局面使得公司制的管理体系成为了“空壳”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引资环境差，资金不足：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保晋公司采取了股份制的模式，使得其吸收资金，尤其是社会闲散资本的能力变强，但保晋公司的融资形势却一直没有很大改善。一方面，长年的战乱使得社会闲散资本的数量稀少；另一方面，即使大力宣传了有限责任制不需要股东负连带清偿责任，大部分有投资能力的人依旧持怀疑态度，不愿意购买股票。这既与晋商传统票号经营模式深入人心有关，也和负责人员没有发挥足够的主观能动性有关。现金流拮据导致了保晋公司发展初期举步维艰，连年亏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交通运输条件差，流通成本高：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晋城煤矿的产量一开始不高，这样的情况持续到1923年，原因是“晋城硬煤，因无铁路之便，远处不能推销”。大同煤矿1916年至1924年间甚至完全停产，是因为大同分公司的煤矿“距平绥路有数百里之遥，销路亦滞，因于民国五年(1916年)全行停工”。运输不畅和运费高昂极大地影响了山西煤矿的开采量，专营煤炭的保晋公司“惟以运费太高，不能尽量开采”。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保晋公司作为山西近代最大的民营企业，在推行资本化的道路上毫无疑问是山西地方的先驱。但当时内忧外患，长年动乱的时局，以及半资本主义半封建的社会体制，都对其资本化的尝试造成了严重的阻碍。保晋公司作为民营企业，其发展需要良好的资本市场环境和健全的市场体制，这不仅需要公司自身的努力，更需要当地政府的支持。遗憾的是，当时的政府没有这样的意愿和能力，中国的资本主义市场还不健全，保晋公司的繁荣期同时也是一战期间，列强放松了对华的压制。由此可以看出，民营企业想要发展，科学的管理体制和健康的外部环境都是必不可少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/>
          <w:b/>
          <w:bCs/>
          <w:i/>
          <w:iCs/>
          <w:u w:val="single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参考文献：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曹慧明.保晋档案.太原:山西人民出版社,2008:69－70,69－70,73,45,79－80.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王智庆.论清末民国时期传统晋商的转型探索—以“山西商办全省保晋矿务有限公司”为例.山西档案.1005-9652(2016) 01-0166-03.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马玉亮.保晋公司产生和发展的历史意义.阳泉日报/2018年/10月/15日/第005版.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39DF0B"/>
    <w:multiLevelType w:val="singleLevel"/>
    <w:tmpl w:val="E339DF0B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7D90759F"/>
    <w:multiLevelType w:val="singleLevel"/>
    <w:tmpl w:val="7D90759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F3341"/>
    <w:rsid w:val="07C957B6"/>
    <w:rsid w:val="69FF3341"/>
    <w:rsid w:val="78C8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2018-12-03T14:26:00Z</dcterms:created>
  <dc:creator>哈利路亚</dc:creator>
  <cp:lastModifiedBy>哈利路亚</cp:lastModifiedBy>
  <dcterms:modified xsi:type="dcterms:W3CDTF">2018-12-04T08:43:12Z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