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sz w:val="32"/>
          <w:szCs w:val="32"/>
        </w:rPr>
        <w:t xml:space="preserve">Construção de Compiladores</w:t>
      </w:r>
    </w:p>
    <w:p>
      <w:pPr>
        <w:spacing w:after="600"/>
        <w:jc w:val="center"/>
      </w:pPr>
      <w:r>
        <w:rPr>
          <w:sz w:val="26"/>
          <w:szCs w:val="26"/>
        </w:rPr>
        <w:t xml:space="preserve">Entrega 1 — Analisador Léxico</w:t>
      </w:r>
    </w:p>
    <w:p>
      <w:pPr>
        <w:spacing w:after="60"/>
        <w:jc w:val="center"/>
      </w:pPr>
      <w:r>
        <w:t xml:space="preserve">Linguagem: C-Minus</w:t>
      </w:r>
    </w:p>
    <w:p>
      <w:pPr>
        <w:spacing w:after="60"/>
        <w:jc w:val="center"/>
      </w:pPr>
      <w:r>
        <w:t xml:space="preserve">Integrantes: ______________________________</w:t>
      </w:r>
    </w:p>
    <w:p>
      <w:pPr>
        <w:spacing w:after="0"/>
        <w:jc w:val="center"/>
      </w:pPr>
      <w:r>
        <w:t xml:space="preserve">Data: 20 de setembro de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Objetivo da entrega</w:t>
      </w:r>
    </w:p>
    <w:p>
      <w:pPr>
        <w:spacing w:after="140"/>
      </w:pPr>
      <w:r>
        <w:t xml:space="preserve">Esta entrega constrói o analisador léxico por dois caminhos independentes sobre a mesma linguagem e compara as saídas dos dois.</w:t>
      </w:r>
    </w:p>
    <w:p>
      <w:pPr>
        <w:spacing w:after="140"/>
      </w:pPr>
      <w:r>
        <w:t xml:space="preserve">Na trilha manual, um subconjunto das regras de produção é convertido em uma expressão regular por token. As expressões são unidas num único autômato não determinístico pelo método de Thompson, que passa por construção de subconjuntos e minimização sem ferramenta que automatize o processo, e daí para um scanner implementado a partir da tabela de transição do autômato mínimo. Na trilha com ferramenta, a BNF completa vira uma especificação Flex e o scanner é gerado automaticamente.</w:t>
      </w:r>
    </w:p>
    <w:p>
      <w:pPr>
        <w:spacing w:after="140"/>
      </w:pPr>
      <w:r>
        <w:t xml:space="preserve">A trilha manual é limitada a um subconjunto porque a conversão à mão das 29 regras seria inviável. A comparação final é o que fecha o raciocínio: nos trechos cobertos pelas duas, a sequência de tokens tem de ser idêntica.</w:t>
      </w:r>
    </w:p>
    <w:p>
      <w:pPr>
        <w:pStyle w:val="Heading1"/>
        <w:spacing w:after="160" w:before="320"/>
      </w:pPr>
      <w:r>
        <w:t xml:space="preserve">2. Linguagem escolhida</w:t>
      </w:r>
    </w:p>
    <w:p>
      <w:pPr>
        <w:spacing w:after="140"/>
      </w:pPr>
      <w:r>
        <w:t xml:space="preserve">A linguagem é o C-Minus, um subconjunto simplificado de C com BNF publicada, 29 regras de produção e um conjunto pequeno de tokens.</w:t>
      </w:r>
    </w:p>
    <w:p>
      <w:pPr>
        <w:pStyle w:val="Heading2"/>
        <w:spacing w:after="120" w:before="240"/>
      </w:pPr>
      <w:r>
        <w:t xml:space="preserve">2.1. BNF completa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1.  program → declaration-list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2.  declaration-list → declaration-list declaration | declaration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3.  declaration → var-declaration | fun-declaration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4.  var-declaration → type-specifier ID ; | type-specifier ID [ NUM ] ;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5.  type-specifier → int | void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6.  fun-declaration → type-specifier ID ( params ) compound-stmt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7.  params → param-list | void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8.  param-list → param-list , param | param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9.  param → type-specifier ID | type-specifier ID [ ]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10. compound-stmt → { local-declarations statement-list 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11. local-declarations → local-declarations var-declarations | empty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12. statement-list → statement-list statement | empty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13. statement → expression-stmt | compound-stmt | selection-stmt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| iteration-stmt | return-stmt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14. expression-stmt → expression ; | ;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15. selection-stmt → if ( expression ) statement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| if ( expression ) statement else statement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16. iteration-stmt → while ( expression ) statement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17. return-stmt → return ; | return expression ;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18. expression → var = expression | simple-expression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19. var → ID | ID [ expression ]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20. simple-expression → additive-expression relop additive-expression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| additive-expression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21. relop → &lt;= | &lt; | &gt; | &gt;= | == | !=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22. additive-expression → additive-expression addop term | term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23. addop → + | -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24. term → term mulop factor | factor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25. mulop → * | /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26. factor → ( expression ) | var | call | NUM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27. call → ID ( args 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28. args → arg-list | empty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29. arg-list → arg-list , expression | expression</w:t>
      </w:r>
    </w:p>
    <w:p>
      <w:pPr>
        <w:pStyle w:val="Heading2"/>
        <w:spacing w:after="120" w:before="240"/>
      </w:pPr>
      <w:r>
        <w:t xml:space="preserve">2.2. Elementos léxicos</w:t>
      </w:r>
    </w:p>
    <w:p>
      <w:pPr>
        <w:spacing w:after="140"/>
      </w:pPr>
      <w:r>
        <w:t xml:space="preserve">Palavras reservadas: </w:t>
      </w:r>
      <w:r>
        <w:rPr>
          <w:rFonts w:ascii="Courier New" w:cs="Courier New" w:eastAsia="Courier New" w:hAnsi="Courier New"/>
          <w:sz w:val="19"/>
          <w:szCs w:val="19"/>
        </w:rPr>
        <w:t xml:space="preserve">else if int return void while</w:t>
      </w:r>
    </w:p>
    <w:p>
      <w:pPr>
        <w:spacing w:after="140"/>
      </w:pPr>
      <w:r>
        <w:t xml:space="preserve">Símbolos especiais: </w:t>
      </w:r>
      <w:r>
        <w:rPr>
          <w:rFonts w:ascii="Courier New" w:cs="Courier New" w:eastAsia="Courier New" w:hAnsi="Courier New"/>
          <w:sz w:val="19"/>
          <w:szCs w:val="19"/>
        </w:rPr>
        <w:t xml:space="preserve">+ - * / &lt; &lt;= &gt; &gt;= == != = ; , ( ) [ ] { } /* */</w:t>
      </w:r>
    </w:p>
    <w:p>
      <w:pPr>
        <w:spacing w:after="140"/>
      </w:pPr>
      <w:r>
        <w:t xml:space="preserve">Definições: </w:t>
      </w:r>
      <w:r>
        <w:rPr>
          <w:rFonts w:ascii="Courier New" w:cs="Courier New" w:eastAsia="Courier New" w:hAnsi="Courier New"/>
          <w:sz w:val="19"/>
          <w:szCs w:val="19"/>
        </w:rPr>
        <w:t xml:space="preserve">ID = letter letter*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NUM = digit digit*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letter = a..z | A..Z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digit = 0..9</w:t>
      </w:r>
      <w:r>
        <w:t xml:space="preserve">. Comentários entre </w:t>
      </w:r>
      <w:r>
        <w:rPr>
          <w:rFonts w:ascii="Courier New" w:cs="Courier New" w:eastAsia="Courier New" w:hAnsi="Courier New"/>
          <w:sz w:val="19"/>
          <w:szCs w:val="19"/>
        </w:rPr>
        <w:t xml:space="preserve">/*</w:t>
      </w:r>
      <w:r>
        <w:t xml:space="preserve"> e </w:t>
      </w:r>
      <w:r>
        <w:rPr>
          <w:rFonts w:ascii="Courier New" w:cs="Courier New" w:eastAsia="Courier New" w:hAnsi="Courier New"/>
          <w:sz w:val="19"/>
          <w:szCs w:val="19"/>
        </w:rPr>
        <w:t xml:space="preserve">*/</w:t>
      </w:r>
      <w:r>
        <w:t xml:space="preserve">.</w:t>
      </w:r>
    </w:p>
    <w:p>
      <w:pPr>
        <w:pStyle w:val="Heading1"/>
        <w:spacing w:after="160" w:before="320"/>
      </w:pPr>
      <w:r>
        <w:t xml:space="preserve">3. Subconjunto de regras de produção</w:t>
      </w:r>
    </w:p>
    <w:p>
      <w:pPr>
        <w:spacing w:after="140"/>
      </w:pPr>
      <w:r>
        <w:t xml:space="preserve">O subconjunto escolhido é o sub-idioma das expressões, formado por sete regras de produção — acima do mínimo de cinco exigido pelo enunciado.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596"/>
        <w:gridCol w:w="2708"/>
      </w:tblGrid>
      <w:tr>
        <w:trPr>
          <w:tblHeader/>
        </w:trPr>
        <w:tc>
          <w:tcPr>
            <w:tcW w:type="dxa" w:w="722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5596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Produção</w:t>
            </w:r>
          </w:p>
        </w:tc>
        <w:tc>
          <w:tcPr>
            <w:tcW w:type="dxa" w:w="2708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Terminais que introduz</w:t>
            </w:r>
          </w:p>
        </w:tc>
      </w:tr>
      <w:tr>
        <w:tc>
          <w:tcPr>
            <w:tcW w:type="dxa" w:w="72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5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expression → var = expression | simple-expression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=</w:t>
            </w:r>
          </w:p>
        </w:tc>
      </w:tr>
      <w:tr>
        <w:tc>
          <w:tcPr>
            <w:tcW w:type="dxa" w:w="72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5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simple-expression → additive-expression relop additive-expression | additive-expression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via relop</w:t>
            </w:r>
          </w:p>
        </w:tc>
      </w:tr>
      <w:tr>
        <w:tc>
          <w:tcPr>
            <w:tcW w:type="dxa" w:w="72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5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additive-expression → additive-expression addop term | term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via addop</w:t>
            </w:r>
          </w:p>
        </w:tc>
      </w:tr>
      <w:tr>
        <w:tc>
          <w:tcPr>
            <w:tcW w:type="dxa" w:w="72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5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addop → + | -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+   -</w:t>
            </w:r>
          </w:p>
        </w:tc>
      </w:tr>
      <w:tr>
        <w:tc>
          <w:tcPr>
            <w:tcW w:type="dxa" w:w="72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5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term → term mulop factor | factor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via mulop</w:t>
            </w:r>
          </w:p>
        </w:tc>
      </w:tr>
      <w:tr>
        <w:tc>
          <w:tcPr>
            <w:tcW w:type="dxa" w:w="72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5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mulop → * | /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*   /</w:t>
            </w:r>
          </w:p>
        </w:tc>
      </w:tr>
      <w:tr>
        <w:tc>
          <w:tcPr>
            <w:tcW w:type="dxa" w:w="72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5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 → ( expression ) | var | call | NUM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(   )   NUM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As regras 20 e 26 referenciam os não terminais relop, var e call, definidos pelas regras 21, 19 e 27. Sem elas os terminais ficariam indefinidos, então foram incorporadas como auxiliares: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596"/>
        <w:gridCol w:w="2708"/>
      </w:tblGrid>
      <w:tr>
        <w:trPr>
          <w:tblHeader/>
        </w:trPr>
        <w:tc>
          <w:tcPr>
            <w:tcW w:type="dxa" w:w="722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5596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Produção</w:t>
            </w:r>
          </w:p>
        </w:tc>
        <w:tc>
          <w:tcPr>
            <w:tcW w:type="dxa" w:w="2708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Terminais que introduz</w:t>
            </w:r>
          </w:p>
        </w:tc>
      </w:tr>
      <w:tr>
        <w:tc>
          <w:tcPr>
            <w:tcW w:type="dxa" w:w="72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5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 → ID | ID [ expression ]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ID   [   ]</w:t>
            </w:r>
          </w:p>
        </w:tc>
      </w:tr>
      <w:tr>
        <w:tc>
          <w:tcPr>
            <w:tcW w:type="dxa" w:w="72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5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relop → &lt;= | &lt; | &gt; | &gt;= | == | !=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&lt;=  &lt;  &gt;  &gt;=  ==  !=</w:t>
            </w:r>
          </w:p>
        </w:tc>
      </w:tr>
      <w:tr>
        <w:tc>
          <w:tcPr>
            <w:tcW w:type="dxa" w:w="72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5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 → ID ( args )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ID   (   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0"/>
      </w:pPr>
      <w:r>
        <w:t xml:space="preserve">Uma consequência importante dessa escolha: o subconjunto não contém nenhuma palavra reservada, porque as regras 5, 15, 16 e 17 ficaram de fora. Isso elimina o conflito entre palavra reservada e identificador. Em compensação entram três casos de maior casamento possível que o autômato precisa resolver: = contra ==, &lt; contra &lt;= e &gt; contra &gt;=.</w:t>
      </w:r>
    </w:p>
    <w:p>
      <w:pPr>
        <w:pStyle w:val="Heading1"/>
        <w:spacing w:after="160" w:before="320"/>
      </w:pPr>
      <w:r>
        <w:t xml:space="preserve">4. Alfabeto e definições regulares</w:t>
      </w:r>
    </w:p>
    <w:p>
      <w:pPr>
        <w:spacing w:after="140"/>
      </w:pPr>
      <w:r>
        <w:t xml:space="preserve">O alfabeto do subconjunto reúne as letras, os dígitos e os símbolos especiais usados pelas regras selecionadas: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Σ = { a..z, A..Z, 0..9, =, &lt;, &gt;, !, +, -, *, /, (, ), [, ] }</w:t>
      </w:r>
    </w:p>
    <w:p>
      <w:pPr>
        <w:spacing w:after="140"/>
      </w:pPr>
      <w:r>
        <w:t xml:space="preserve">Definições regulares auxiliares: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6318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letra (L)</w:t>
            </w:r>
          </w:p>
        </w:tc>
        <w:tc>
          <w:tcPr>
            <w:tcW w:type="dxa" w:w="631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 | b | ... | z | A | B | ... | Z</w:t>
            </w:r>
          </w:p>
        </w:tc>
      </w:tr>
      <w:tr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dígito (G)</w:t>
            </w:r>
          </w:p>
        </w:tc>
        <w:tc>
          <w:tcPr>
            <w:tcW w:type="dxa" w:w="631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0 | 1 | 2 | 3 | 4 | 5 | 6 | 7 | 8 | 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0"/>
      </w:pPr>
      <w:r>
        <w:t xml:space="preserve">Nas tabelas adiante as colunas L e G representam essas duas classes. São abreviações: a coluna L vale por 52 colunas idênticas e a coluna G por 10. As demais colunas são símbolos literais do alfabeto.</w:t>
      </w:r>
    </w:p>
    <w:p>
      <w:pPr>
        <w:pStyle w:val="Heading1"/>
        <w:spacing w:after="160" w:before="320"/>
      </w:pPr>
      <w:r>
        <w:t xml:space="preserve">5. Expressões regulares dos tokens</w:t>
      </w:r>
    </w:p>
    <w:p>
      <w:pPr>
        <w:spacing w:after="140"/>
      </w:pPr>
      <w:r>
        <w:t xml:space="preserve">Cada terminal do subconjunto dá origem a um token. A ordem da tabela é a prioridade de desempate, usada quando duas expressões aceitam o mesmo lexema.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332"/>
        <w:gridCol w:w="2708"/>
      </w:tblGrid>
      <w:tr>
        <w:trPr>
          <w:tblHeader/>
        </w:trPr>
        <w:tc>
          <w:tcPr>
            <w:tcW w:type="dxa" w:w="1986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4332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Expressão regular</w:t>
            </w:r>
          </w:p>
        </w:tc>
        <w:tc>
          <w:tcPr>
            <w:tcW w:type="dxa" w:w="2708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letra · letra*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 19, 27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digito · digito*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26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EQ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= · =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21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=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18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LE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· =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21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LT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21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GE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· =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21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GT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21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NE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! · =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21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PLUS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23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MINUS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23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25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25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LPAREN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(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 26, 27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RPAREN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 26, 27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LBRACKET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[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19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RBRACKET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]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19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0"/>
      </w:pPr>
      <w:r>
        <w:t xml:space="preserve">EQ aparece antes de ASSIGN e LE antes de LT. Nesse subconjunto a ordem não chega a ser decisiva, porque esses lexemas terminam em estados diferentes do autômato e o conflito é resolvido pelo maior casamento possível. A prioridade fica declarada mesmo assim, porque é ela que garante o comportamento caso duas expressões venham a aceitar exatamente a mesma cadeia.</w:t>
      </w:r>
    </w:p>
    <w:p>
      <w:pPr>
        <w:pStyle w:val="Heading1"/>
        <w:spacing w:after="160" w:before="320"/>
      </w:pPr>
      <w:r>
        <w:t xml:space="preserve">6. Construção do NFA pelo método de Thompson</w:t>
      </w:r>
    </w:p>
    <w:p>
      <w:pPr>
        <w:spacing w:after="140"/>
      </w:pPr>
      <w:r>
        <w:t xml:space="preserve">Cada expressão regular é convertida no seu fragmento de Thompson e todos são unidos sob um estado inicial comum, ligado a cada fragmento por uma transição vazia. O resultado tem </w:t>
      </w:r>
      <w:r>
        <w:rPr>
          <w:b/>
          <w:bCs/>
        </w:rPr>
        <w:t xml:space="preserve">55</w:t>
      </w:r>
      <w:r>
        <w:t xml:space="preserve"> estados, S0 a S54, com S0 como inicial.</w:t>
      </w:r>
    </w:p>
    <w:p>
      <w:pPr>
        <w:spacing w:after="140"/>
      </w:pPr>
      <w:r>
        <w:t xml:space="preserve">Diferente de um autômato que apenas reconhece uma linguagem, aqui cada estado final carrega o rótulo do token que reconhece. É isso que transforma o autômato num tokenizador.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448300"/>
            <wp:effectExtent t="0" r="0" b="0" l="0"/>
            <wp:docPr id="1" name="Figura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m 101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Figura 1 — União dos fragmentos sob um estado inicial comum</w:t>
      </w:r>
    </w:p>
    <w:p>
      <w:pPr>
        <w:pStyle w:val="Heading2"/>
        <w:spacing w:after="120" w:before="240"/>
      </w:pPr>
      <w:r>
        <w:t xml:space="preserve">6.1. Faixa de estados de cada fragmento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rPr>
          <w:tblHeader/>
        </w:trPr>
        <w:tc>
          <w:tcPr>
            <w:tcW w:type="dxa" w:w="2257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2257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Estados</w:t>
            </w:r>
          </w:p>
        </w:tc>
        <w:tc>
          <w:tcPr>
            <w:tcW w:type="dxa" w:w="2257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2255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Estados</w:t>
            </w:r>
          </w:p>
        </w:tc>
      </w:tr>
      <w:tr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S1 a S10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</w:t>
            </w:r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S11 a S16</w:t>
            </w:r>
          </w:p>
        </w:tc>
      </w:tr>
      <w:tr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EQ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S17 a S20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</w:t>
            </w:r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S21 a S22</w:t>
            </w:r>
          </w:p>
        </w:tc>
      </w:tr>
      <w:tr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LE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S23 a S26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LT</w:t>
            </w:r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S27 a S28</w:t>
            </w:r>
          </w:p>
        </w:tc>
      </w:tr>
      <w:tr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GE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S29 a S32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GT</w:t>
            </w:r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S33 a S34</w:t>
            </w:r>
          </w:p>
        </w:tc>
      </w:tr>
      <w:tr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NE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S35 a S38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PLUS</w:t>
            </w:r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S39 a S40</w:t>
            </w:r>
          </w:p>
        </w:tc>
      </w:tr>
      <w:tr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MINUS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S41 a S42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</w:t>
            </w:r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S43 a S44</w:t>
            </w:r>
          </w:p>
        </w:tc>
      </w:tr>
      <w:tr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S45 a S46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LPAREN</w:t>
            </w:r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S47 a S48</w:t>
            </w:r>
          </w:p>
        </w:tc>
      </w:tr>
      <w:tr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RPAREN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S49 a S50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LBRACKET</w:t>
            </w:r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S51 a S52</w:t>
            </w:r>
          </w:p>
        </w:tc>
      </w:tr>
      <w:tr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RBRACKET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S53 a S54</w:t>
            </w:r>
          </w:p>
        </w:tc>
        <w:tc>
          <w:tcPr>
            <w:tcW w:type="dxa" w:w="22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6.2. Detalhe do fragmento de ID</w:t>
      </w:r>
    </w:p>
    <w:p>
      <w:pPr>
        <w:spacing w:after="140"/>
      </w:pPr>
      <w:r>
        <w:t xml:space="preserve">Os fragmentos dos símbolos de um caractere são triviais: dois estados e uma transição. Os únicos com estrutura interessante são ID e NUM, que usam o fecho de Kleene. Abaixo o de ID, construído como letra concatenada com letra estrela. O de NUM é idêntico trocando a classe letra pela classe dígito.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105025"/>
            <wp:effectExtent t="0" r="0" b="0" l="0"/>
            <wp:docPr id="2" name="Figura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m 102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Figura 2 — Fragmento de Thompson para ID = letra · letra*</w:t>
      </w:r>
    </w:p>
    <w:p>
      <w:pPr>
        <w:spacing w:after="0"/>
      </w:pPr>
      <w:r>
        <w:t xml:space="preserve">A variante de Thompson adotada para o fecho faz o arco de retorno sair do estado final da estrela e voltar ao início do corpo, e o arco de desvio sair do início da estrela direto para o seu final.</w:t>
      </w:r>
    </w:p>
    <w:p>
      <w:pPr>
        <w:pStyle w:val="Heading1"/>
        <w:spacing w:after="160" w:before="320"/>
      </w:pPr>
      <w:r>
        <w:t xml:space="preserve">7. Conversão do NFA para o DFA</w:t>
      </w:r>
    </w:p>
    <w:p>
      <w:pPr>
        <w:spacing w:after="140"/>
      </w:pPr>
      <w:r>
        <w:t xml:space="preserve">A construção de subconjuntos parte do fecho-ε do estado inicial e gera </w:t>
      </w:r>
      <w:r>
        <w:rPr>
          <w:b/>
          <w:bCs/>
        </w:rPr>
        <w:t xml:space="preserve">21</w:t>
      </w:r>
      <w:r>
        <w:t xml:space="preserve"> estados. Um estado do DFA é final quando contém algum estado final do NFA, e herda o rótulo do token correspondente.</w:t>
      </w:r>
    </w:p>
    <w:p>
      <w:pPr>
        <w:pStyle w:val="Heading2"/>
        <w:spacing w:after="120" w:before="240"/>
      </w:pPr>
      <w:r>
        <w:t xml:space="preserve">7.1. Estados gerados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957"/>
        <w:gridCol w:w="1986"/>
      </w:tblGrid>
      <w:tr>
        <w:trPr>
          <w:tblHeader/>
        </w:trPr>
        <w:tc>
          <w:tcPr>
            <w:tcW w:type="dxa" w:w="1083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5957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Conjunto de estados do NFA</w:t>
            </w:r>
          </w:p>
        </w:tc>
        <w:tc>
          <w:tcPr>
            <w:tcW w:type="dxa" w:w="1986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Q0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{S0, S1, S3, S11, S17, S21, S23, S27, S29, S33, S35, S39, S41, S43, S45, S47, S49, S51, S53}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{S2, S4, S5, S7, S9, S10}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{S12, S13, S15, S16}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{S18, S19, S22}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ASSIGN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{S24, S25, S28}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LT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Q5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{S30, S31, S34}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GT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Q6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{S36, S37}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Q7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{S40}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PLUS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Q8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{S42}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MINUS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Q9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{S44}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Q10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{S46}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Q11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{S48}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LPAREN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Q12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{S50}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RPAREN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Q13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{S52}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LBRACKET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Q14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{S54}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RBRACKET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Q15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{S5, S6, S7, S8, S10}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Q16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{S13, S14, S16}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Q17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{S20}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EQ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Q18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{S26}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Q19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{S32}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</w:t>
            </w:r>
          </w:p>
        </w:tc>
      </w:tr>
      <w:tr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Q20</w:t>
            </w:r>
          </w:p>
        </w:tc>
        <w:tc>
          <w:tcPr>
            <w:tcW w:type="dxa" w:w="595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{S38}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7.2. Função de transição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Q0:  L -&gt; Q1   G -&gt; Q2   = -&gt; Q3   &lt; -&gt; Q4   &gt; -&gt; Q5   ! -&gt; Q6   + -&gt; Q7   - -&gt; Q8   * -&gt; Q9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     / -&gt; Q10   ( -&gt; Q11   ) -&gt; Q12   [ -&gt; Q13   ] -&gt; Q14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Q1:  L -&gt; Q15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Q2:  G -&gt; Q16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Q3:  = -&gt; Q17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Q4:  = -&gt; Q18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Q5:  = -&gt; Q19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Q6:  = -&gt; Q20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Q7: 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Q8: 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Q9: 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Q10: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Q11: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Q12: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Q13: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Q14: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Q15: L -&gt; Q15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Q16: G -&gt; Q16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Q17: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Q18: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Q19: (sem transicoes)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Q20: (sem transicoes)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6591300"/>
            <wp:effectExtent t="0" r="0" b="0" l="0"/>
            <wp:docPr id="3" name="Figura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m 103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Figura 3 — DFA obtido pela construção de subconjuntos, 21 estados</w:t>
      </w:r>
    </w:p>
    <w:p>
      <w:pPr>
        <w:pStyle w:val="Heading1"/>
        <w:spacing w:after="160" w:before="320"/>
      </w:pPr>
      <w:r>
        <w:t xml:space="preserve">8. Minimização do DFA</w:t>
      </w:r>
    </w:p>
    <w:p>
      <w:pPr>
        <w:spacing w:after="140"/>
      </w:pPr>
      <w:r>
        <w:t xml:space="preserve">A minimização usa refinamento de partições. A partição inicial não separa apenas finais de não finais: tem um bloco para cada rótulo de token, mais um bloco para os estados não finais. Se dois estados que aceitam tokens diferentes começassem no mesmo bloco, o autômato mínimo emitiria o token trocado.</w:t>
      </w:r>
    </w:p>
    <w:p>
      <w:pPr>
        <w:spacing w:after="140"/>
      </w:pPr>
      <w:r>
        <w:t xml:space="preserve">Como quase todo estado final deste DFA aceita um token distinto, a maior parte dos blocos iniciais já é unitária e não pode ser refinada. O refinamento acaba unindo apenas dois pares: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805"/>
        <w:gridCol w:w="1444"/>
        <w:gridCol w:w="4513"/>
      </w:tblGrid>
      <w:tr>
        <w:trPr>
          <w:tblHeader/>
        </w:trPr>
        <w:tc>
          <w:tcPr>
            <w:tcW w:type="dxa" w:w="1264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Estado mínimo</w:t>
            </w:r>
          </w:p>
        </w:tc>
        <w:tc>
          <w:tcPr>
            <w:tcW w:type="dxa" w:w="1805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Estados do DFA</w:t>
            </w:r>
          </w:p>
        </w:tc>
        <w:tc>
          <w:tcPr>
            <w:tcW w:type="dxa" w:w="1444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4513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Por que colapsam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Q1, Q15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mesmo token e mesmo destino em todos os símbolos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Q2, Q16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mesmo token e mesmo destino em todos os símbolos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Todos os demais blocos permanecem unitários. O autômato mínimo tem </w:t>
      </w:r>
      <w:r>
        <w:rPr>
          <w:b/>
          <w:bCs/>
        </w:rPr>
        <w:t xml:space="preserve">19</w:t>
      </w:r>
      <w:r>
        <w:t xml:space="preserve"> estados, contra </w:t>
      </w:r>
      <w:r>
        <w:rPr>
          <w:b/>
          <w:bCs/>
        </w:rPr>
        <w:t xml:space="preserve">21</w:t>
      </w:r>
      <w:r>
        <w:t xml:space="preserve"> do DFA de subconjuntos e </w:t>
      </w:r>
      <w:r>
        <w:rPr>
          <w:b/>
          <w:bCs/>
        </w:rPr>
        <w:t xml:space="preserve">55</w:t>
      </w:r>
      <w:r>
        <w:t xml:space="preserve"> do NFA.</w:t>
      </w:r>
    </w:p>
    <w:p>
      <w:pPr>
        <w:spacing w:after="140"/>
      </w:pPr>
      <w:r>
        <w:t xml:space="preserve">A redução modesta é esperada e vale ser comentada: num tokenizador com muitos símbolos de um caractere, cada estado final aceita um token diferente, então não há o que unir. A economia grande já tinha acontecido na determinização, que colapsou as transições vazias.</w:t>
      </w:r>
    </w:p>
    <w:p>
      <w:pPr>
        <w:pStyle w:val="Heading2"/>
        <w:spacing w:after="120" w:before="240"/>
      </w:pPr>
      <w:r>
        <w:t xml:space="preserve">8.1. Autômato mínimo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4152"/>
        <w:gridCol w:w="3430"/>
      </w:tblGrid>
      <w:tr>
        <w:trPr>
          <w:tblHeader/>
        </w:trPr>
        <w:tc>
          <w:tcPr>
            <w:tcW w:type="dxa" w:w="1444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4152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Blocos do DFA</w:t>
            </w:r>
          </w:p>
        </w:tc>
        <w:tc>
          <w:tcPr>
            <w:tcW w:type="dxa" w:w="3430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q0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Q0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Q1, Q15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Q2, Q16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ASSIGN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LT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q5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Q5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GT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q6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Q6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q7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Q7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PLUS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q8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Q8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MINUS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q9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Q9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q10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Q10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q11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Q11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LPAREN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q12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Q12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RPAREN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q13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Q13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LBRACKET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q14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Q14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RBRACKET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q15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Q17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EQ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q16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Q18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q17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Q19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GE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q18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Q20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q0:  L -&gt; q1   G -&gt; q2   = -&gt; q3   &lt; -&gt; q4   &gt; -&gt; q5   ! -&gt; q6   + -&gt; q7   - -&gt; q8   * -&gt; q9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     / -&gt; q10   ( -&gt; q11   ) -&gt; q12   [ -&gt; q13   ] -&gt; q14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q1:  L -&gt; q1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q2:  G -&gt; q2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q3:  = -&gt; q15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q4:  = -&gt; q16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q5:  = -&gt; q17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q6:  = -&gt; q18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q7: 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q8: 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q9: 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q10: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q11: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q12: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q13: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q14: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q15: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q16: (sem transicoes)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q17: (sem transicoes)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q18: (sem transicoes)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6591300"/>
            <wp:effectExtent t="0" r="0" b="0" l="0"/>
            <wp:docPr id="4" name="Figura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m 104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Figura 4 — DFA mínimo, 19 estados</w:t>
      </w:r>
    </w:p>
    <w:p>
      <w:pPr>
        <w:spacing w:after="0"/>
      </w:pPr>
      <w:r>
        <w:t xml:space="preserve">Estado inicial: </w:t>
      </w:r>
      <w:r>
        <w:rPr>
          <w:rFonts w:ascii="Courier New" w:cs="Courier New" w:eastAsia="Courier New" w:hAnsi="Courier New"/>
          <w:sz w:val="19"/>
          <w:szCs w:val="19"/>
        </w:rPr>
        <w:t xml:space="preserve">q0</w:t>
      </w:r>
      <w:r>
        <w:t xml:space="preserve">. Os únicos estados não finais são o inicial e o alcançado por </w:t>
      </w:r>
      <w:r>
        <w:rPr>
          <w:rFonts w:ascii="Courier New" w:cs="Courier New" w:eastAsia="Courier New" w:hAnsi="Courier New"/>
          <w:sz w:val="19"/>
          <w:szCs w:val="19"/>
        </w:rPr>
        <w:t xml:space="preserve">!</w:t>
      </w:r>
      <w:r>
        <w:t xml:space="preserve">, que só aceita depois de ler o </w:t>
      </w:r>
      <w:r>
        <w:rPr>
          <w:rFonts w:ascii="Courier New" w:cs="Courier New" w:eastAsia="Courier New" w:hAnsi="Courier New"/>
          <w:sz w:val="19"/>
          <w:szCs w:val="19"/>
        </w:rPr>
        <w:t xml:space="preserve">=</w:t>
      </w:r>
      <w:r>
        <w:t xml:space="preserve"> seguinte.</w:t>
      </w:r>
    </w:p>
    <w:p>
      <w:pPr>
        <w:pStyle w:val="Heading1"/>
        <w:spacing w:after="160" w:before="320"/>
      </w:pPr>
      <w:r>
        <w:t xml:space="preserve">9. Implementação do scanner</w:t>
      </w:r>
    </w:p>
    <w:p>
      <w:pPr>
        <w:spacing w:after="140"/>
      </w:pPr>
      <w:r>
        <w:t xml:space="preserve">O scanner é dirigido pela tabela de transição do autômato mínimo. A tabela é gerada a partir do autômato e o motor a consulta, de modo que uma mudança no subconjunto de regras não exige reescrever o scanner.</w:t>
      </w:r>
    </w:p>
    <w:p>
      <w:pPr>
        <w:pStyle w:val="Heading2"/>
        <w:spacing w:after="120" w:before="240"/>
      </w:pPr>
      <w:r>
        <w:t xml:space="preserve">9.1. Maior casamento possível</w:t>
      </w:r>
    </w:p>
    <w:p>
      <w:pPr>
        <w:spacing w:after="140"/>
      </w:pPr>
      <w:r>
        <w:t xml:space="preserve">O laço não roda o autômato até o fim da entrada. A cada token ele avança enquanto houver transição, guardando a última posição em que passou por um estado final; quando trava, recua para essa posição, emite o token guardado e recomeça dali. Se travou sem nenhum estado final guardado, é erro léxico.</w:t>
      </w:r>
    </w:p>
    <w:p>
      <w:pPr>
        <w:spacing w:after="140"/>
      </w:pPr>
      <w:r>
        <w:t xml:space="preserve">Sem esse recuo, </w:t>
      </w:r>
      <w:r>
        <w:rPr>
          <w:rFonts w:ascii="Courier New" w:cs="Courier New" w:eastAsia="Courier New" w:hAnsi="Courier New"/>
          <w:sz w:val="19"/>
          <w:szCs w:val="19"/>
        </w:rPr>
        <w:t xml:space="preserve">&lt;=</w:t>
      </w:r>
      <w:r>
        <w:t xml:space="preserve"> sairia como </w:t>
      </w:r>
      <w:r>
        <w:rPr>
          <w:rFonts w:ascii="Courier New" w:cs="Courier New" w:eastAsia="Courier New" w:hAnsi="Courier New"/>
          <w:sz w:val="19"/>
          <w:szCs w:val="19"/>
        </w:rPr>
        <w:t xml:space="preserve">LT</w:t>
      </w:r>
      <w:r>
        <w:t xml:space="preserve"> seguido de </w:t>
      </w:r>
      <w:r>
        <w:rPr>
          <w:rFonts w:ascii="Courier New" w:cs="Courier New" w:eastAsia="Courier New" w:hAnsi="Courier New"/>
          <w:sz w:val="19"/>
          <w:szCs w:val="19"/>
        </w:rPr>
        <w:t xml:space="preserve">ASSIGN</w:t>
      </w:r>
      <w:r>
        <w:t xml:space="preserve">, e </w:t>
      </w:r>
      <w:r>
        <w:rPr>
          <w:rFonts w:ascii="Courier New" w:cs="Courier New" w:eastAsia="Courier New" w:hAnsi="Courier New"/>
          <w:sz w:val="19"/>
          <w:szCs w:val="19"/>
        </w:rPr>
        <w:t xml:space="preserve">12</w:t>
      </w:r>
      <w:r>
        <w:t xml:space="preserve"> sairia como dois </w:t>
      </w:r>
      <w:r>
        <w:rPr>
          <w:rFonts w:ascii="Courier New" w:cs="Courier New" w:eastAsia="Courier New" w:hAnsi="Courier New"/>
          <w:sz w:val="19"/>
          <w:szCs w:val="19"/>
        </w:rPr>
        <w:t xml:space="preserve">NUM</w:t>
      </w:r>
      <w:r>
        <w:t xml:space="preserve">.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while (p &lt; tam) {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int k = classe_de[(unsigned char)buf[p]];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if (k &lt; 0) break;                    /* fora do alfabeto */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int prox = delta[estado][k];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if (prox &lt; 0) break;                 /* sem transicao: travou */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estado = prox;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p++;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if (token_de[estado]) {              /* passou por um final */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    ult_token = token_de[estado];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    ult_pos   = p;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  <w:spacing w:after="120" w:before="240"/>
      </w:pPr>
      <w:r>
        <w:t xml:space="preserve">9.2. Espaços, comentários e erros</w:t>
      </w:r>
    </w:p>
    <w:p>
      <w:pPr>
        <w:spacing w:after="140"/>
      </w:pPr>
      <w:r>
        <w:t xml:space="preserve">Espaços em branco e comentários </w:t>
      </w:r>
      <w:r>
        <w:rPr>
          <w:rFonts w:ascii="Courier New" w:cs="Courier New" w:eastAsia="Courier New" w:hAnsi="Courier New"/>
          <w:sz w:val="19"/>
          <w:szCs w:val="19"/>
        </w:rPr>
        <w:t xml:space="preserve">/* */</w:t>
      </w:r>
      <w:r>
        <w:t xml:space="preserve"> são descartados antes de cada token e não geram saída. Comentário aberto e não fechado é erro léxico, reportado na linha e coluna em que o </w:t>
      </w:r>
      <w:r>
        <w:rPr>
          <w:rFonts w:ascii="Courier New" w:cs="Courier New" w:eastAsia="Courier New" w:hAnsi="Courier New"/>
          <w:sz w:val="19"/>
          <w:szCs w:val="19"/>
        </w:rPr>
        <w:t xml:space="preserve">/*</w:t>
      </w:r>
      <w:r>
        <w:t xml:space="preserve"> apareceu. Caractere fora do alfabeto é reportado na posição em que ocorre, e o scanner avança um caractere e continua, para não parar no primeiro erro.</w:t>
      </w:r>
    </w:p>
    <w:p>
      <w:pPr>
        <w:pStyle w:val="Heading2"/>
        <w:spacing w:after="120" w:before="240"/>
      </w:pPr>
      <w:r>
        <w:t xml:space="preserve">9.3. Estrutura da tabela</w:t>
      </w:r>
    </w:p>
    <w:p>
      <w:pPr>
        <w:spacing w:after="140"/>
      </w:pPr>
      <w:r>
        <w:t xml:space="preserve">O arquivo </w:t>
      </w:r>
      <w:r>
        <w:rPr>
          <w:rFonts w:ascii="Courier New" w:cs="Courier New" w:eastAsia="Courier New" w:hAnsi="Courier New"/>
          <w:sz w:val="19"/>
          <w:szCs w:val="19"/>
        </w:rPr>
        <w:t xml:space="preserve">tabela.h</w:t>
      </w:r>
      <w:r>
        <w:t xml:space="preserve"> é a transcrição direta do autômato mínimo da seção 8 para C, em três estruturas. </w:t>
      </w:r>
      <w:r>
        <w:rPr>
          <w:rFonts w:ascii="Courier New" w:cs="Courier New" w:eastAsia="Courier New" w:hAnsi="Courier New"/>
          <w:sz w:val="19"/>
          <w:szCs w:val="19"/>
        </w:rPr>
        <w:t xml:space="preserve">classe_de[256]</w:t>
      </w:r>
      <w:r>
        <w:t xml:space="preserve"> mapeia cada caractere para uma coluna da tabela, e é onde a classe L vira qualquer letra e a classe G qualquer dígito. </w:t>
      </w:r>
      <w:r>
        <w:rPr>
          <w:rFonts w:ascii="Courier New" w:cs="Courier New" w:eastAsia="Courier New" w:hAnsi="Courier New"/>
          <w:sz w:val="19"/>
          <w:szCs w:val="19"/>
        </w:rPr>
        <w:t xml:space="preserve">delta[19][14]</w:t>
      </w:r>
      <w:r>
        <w:t xml:space="preserve"> é a função de transição, com -1 nas posições sem transição, que representam o estado de erro. </w:t>
      </w:r>
      <w:r>
        <w:rPr>
          <w:rFonts w:ascii="Courier New" w:cs="Courier New" w:eastAsia="Courier New" w:hAnsi="Courier New"/>
          <w:sz w:val="19"/>
          <w:szCs w:val="19"/>
        </w:rPr>
        <w:t xml:space="preserve">token_de[19]</w:t>
      </w:r>
      <w:r>
        <w:t xml:space="preserve"> diz qual token cada estado reconhece, com NULL nos estados não finais.</w:t>
      </w:r>
    </w:p>
    <w:p>
      <w:pPr>
        <w:spacing w:after="140"/>
      </w:pPr>
      <w:r>
        <w:t xml:space="preserve">O motor do scanner não conhece C-Minus: ele apenas consulta essas três estruturas. Trocar o subconjunto de regras exige reescrever a tabela, não o scanner.</w:t>
      </w:r>
    </w:p>
    <w:p>
      <w:pPr>
        <w:spacing w:after="140"/>
      </w:pPr>
      <w:r>
        <w:t xml:space="preserve">Compilação e execução: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make            # compila os dois scanners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make test       # roda os dois sobre os arquivos de teste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make compara    # confere se as duas trilhas batem token a token</w:t>
      </w:r>
    </w:p>
    <w:p>
      <w:pPr>
        <w:pStyle w:val="Heading1"/>
        <w:spacing w:after="160" w:before="320"/>
      </w:pPr>
      <w:r>
        <w:t xml:space="preserve">10. Scanner gerado com Flex</w:t>
      </w:r>
    </w:p>
    <w:p>
      <w:pPr>
        <w:spacing w:after="140"/>
      </w:pPr>
      <w:r>
        <w:t xml:space="preserve">A especificação </w:t>
      </w:r>
      <w:r>
        <w:rPr>
          <w:rFonts w:ascii="Courier New" w:cs="Courier New" w:eastAsia="Courier New" w:hAnsi="Courier New"/>
          <w:sz w:val="19"/>
          <w:szCs w:val="19"/>
        </w:rPr>
        <w:t xml:space="preserve">cminus.l</w:t>
      </w:r>
      <w:r>
        <w:t xml:space="preserve"> cobre a BNF completa das 29 regras. Foi processada com Flex 2.6.4 e compilada com gcc 13.3.</w:t>
      </w:r>
    </w:p>
    <w:p>
      <w:pPr>
        <w:spacing w:after="140"/>
      </w:pPr>
      <w:r>
        <w:t xml:space="preserve">Duas coisas que o scanner manual precisa implementar explicitamente o Flex resolve sozinho. O maior casamento possível é o comportamento padrão da ferramenta, o que faz &lt;= vencer &lt;. E em caso de empate vence a regra declarada primeiro, mecanismo usado para as palavras reservadas vencerem ID — por isso elas aparecem antes de ID no arquivo.</w:t>
      </w:r>
    </w:p>
    <w:p>
      <w:pPr>
        <w:spacing w:after="140"/>
      </w:pPr>
      <w:r>
        <w:t xml:space="preserve">Comentários são tratados por uma condição de início exclusiva, o que permite detectar comentário aberto ao chegar no fim do arquivo.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"else"          { emite("ELSE"); 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"if"            { emite("IF"); 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...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"&lt;="            { emite("LE"); 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"&lt;"             { emite("LT"); 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...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{NUM}{letra}+   { erro("numero mal formado"); 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{ID}            { emite("ID"); }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{NUM}           { emite("NUM"); }</w:t>
      </w:r>
    </w:p>
    <w:p>
      <w:pPr>
        <w:spacing w:after="0"/>
      </w:pPr>
      <w:r>
        <w:t xml:space="preserve">A regra </w:t>
      </w:r>
      <w:r>
        <w:rPr>
          <w:rFonts w:ascii="Courier New" w:cs="Courier New" w:eastAsia="Courier New" w:hAnsi="Courier New"/>
          <w:sz w:val="19"/>
          <w:szCs w:val="19"/>
        </w:rPr>
        <w:t xml:space="preserve">{NUM}{letra}+</w:t>
      </w:r>
      <w:r>
        <w:t xml:space="preserve"> é uma decisão de projeto, não uma consequência do autômato: pelo maior casamento possível, </w:t>
      </w:r>
      <w:r>
        <w:rPr>
          <w:rFonts w:ascii="Courier New" w:cs="Courier New" w:eastAsia="Courier New" w:hAnsi="Courier New"/>
          <w:sz w:val="19"/>
          <w:szCs w:val="19"/>
        </w:rPr>
        <w:t xml:space="preserve">12abc</w:t>
      </w:r>
      <w:r>
        <w:t xml:space="preserve"> seria </w:t>
      </w:r>
      <w:r>
        <w:rPr>
          <w:rFonts w:ascii="Courier New" w:cs="Courier New" w:eastAsia="Courier New" w:hAnsi="Courier New"/>
          <w:sz w:val="19"/>
          <w:szCs w:val="19"/>
        </w:rPr>
        <w:t xml:space="preserve">NUM</w:t>
      </w:r>
      <w:r>
        <w:t xml:space="preserve"> seguido de </w:t>
      </w:r>
      <w:r>
        <w:rPr>
          <w:rFonts w:ascii="Courier New" w:cs="Courier New" w:eastAsia="Courier New" w:hAnsi="Courier New"/>
          <w:sz w:val="19"/>
          <w:szCs w:val="19"/>
        </w:rPr>
        <w:t xml:space="preserve">ID</w:t>
      </w:r>
      <w:r>
        <w:t xml:space="preserve">. A regra explícita transforma isso em erro léxico, que é o comportamento esperado de um compilador de C.</w:t>
      </w:r>
    </w:p>
    <w:p>
      <w:pPr>
        <w:pStyle w:val="Heading1"/>
        <w:spacing w:after="160" w:before="320"/>
      </w:pPr>
      <w:r>
        <w:t xml:space="preserve">11. Arquivos de teste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805"/>
        <w:gridCol w:w="5055"/>
      </w:tblGrid>
      <w:tr>
        <w:trPr>
          <w:tblHeader/>
        </w:trPr>
        <w:tc>
          <w:tcPr>
            <w:tcW w:type="dxa" w:w="2166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1805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Trilha</w:t>
            </w:r>
          </w:p>
        </w:tc>
        <w:tc>
          <w:tcPr>
            <w:tcW w:type="dxa" w:w="5055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valido_sub.cm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subconjunto</w:t>
            </w:r>
          </w:p>
        </w:tc>
        <w:tc>
          <w:tcPr>
            <w:tcW w:type="dxa" w:w="50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expressões válidas cobrindo os 17 tokens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invalido_sub.cm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subconjunto</w:t>
            </w:r>
          </w:p>
        </w:tc>
        <w:tc>
          <w:tcPr>
            <w:tcW w:type="dxa" w:w="50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caracteres fora do alfabeto e comentário aberto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valido.cm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BNF completa</w:t>
            </w:r>
          </w:p>
        </w:tc>
        <w:tc>
          <w:tcPr>
            <w:tcW w:type="dxa" w:w="50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 C-Minus completo: função, laço, vetor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invalido.cm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BNF completa</w:t>
            </w:r>
          </w:p>
        </w:tc>
        <w:tc>
          <w:tcPr>
            <w:tcW w:type="dxa" w:w="50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mal formado, caracteres inválidos, comentário aberto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0"/>
      </w:pPr>
      <w:r>
        <w:t xml:space="preserve">Nos arquivos inválidos os erros são léxicos e não sintáticos. Um parêntese faltando passa direto pelo analisador léxico — quem reclama disso é o sintático, que é a entrega seguinte.</w:t>
      </w:r>
    </w:p>
    <w:p>
      <w:pPr>
        <w:pStyle w:val="Heading1"/>
        <w:spacing w:after="160" w:before="320"/>
      </w:pPr>
      <w:r>
        <w:t xml:space="preserve">12. Saídas e comparação</w:t>
      </w:r>
    </w:p>
    <w:p>
      <w:pPr>
        <w:spacing w:after="140"/>
      </w:pPr>
      <w:r>
        <w:t xml:space="preserve">A saída de cada scanner é uma sequência de pares lexema e token, com a linha e a coluna onde o lexema começa.</w:t>
      </w:r>
    </w:p>
    <w:p>
      <w:pPr>
        <w:pStyle w:val="Heading2"/>
        <w:spacing w:after="120" w:before="240"/>
      </w:pPr>
      <w:r>
        <w:t xml:space="preserve">12.1. Trilha manual, arquivo válido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== scanner implementado a partir do DFA minimo -- valido_sub.cm ==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LIN   COL   TOKEN      LEXEMA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1     ID         x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3     ASSIGN     =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5     ID         a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7     PLUS       +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9     ID         b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11    TIMES      *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13    NUM        2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3     1     ID         resultado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3     11    ASSIGN     =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3     13    LPAREN     (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3     14    ID         alfa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3     19    MINUS      -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3     21    ID         beta</w:t>
      </w:r>
    </w:p>
    <w:p>
      <w:pPr>
        <w:spacing w:after="140"/>
      </w:pPr>
      <w:r>
        <w:t xml:space="preserve">Trecho inicial. A saída completa tem 79 tokens.</w:t>
      </w:r>
    </w:p>
    <w:p>
      <w:pPr>
        <w:pStyle w:val="Heading2"/>
        <w:spacing w:after="120" w:before="240"/>
      </w:pPr>
      <w:r>
        <w:t xml:space="preserve">12.2. Trilha manual, arquivo inválido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== scanner implementado a partir do DFA minimo -- invalido_sub.cm ==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LIN   COL   TOKEN      LEXEMA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1     1     ID         x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1     3     ASSIGN     =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1     5     ID         a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ERRO LEXICO linha 1 coluna 7: caractere invalido "@"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1     9     ID         b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1     ID         y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3     ASSIGN     =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5     ID         c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ERRO LEXICO linha 2 coluna 7: caractere invalido "#"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2     9     ID         d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6"/>
          <w:szCs w:val="16"/>
        </w:rPr>
        <w:t xml:space="preserve">3     1     ID         z</w:t>
      </w:r>
    </w:p>
    <w:p>
      <w:pPr>
        <w:pStyle w:val="Heading2"/>
        <w:spacing w:after="120" w:before="240"/>
      </w:pPr>
      <w:r>
        <w:t xml:space="preserve">12.3. Comparação entre as duas trilhas</w:t>
      </w:r>
    </w:p>
    <w:p>
      <w:pPr>
        <w:spacing w:after="140"/>
      </w:pPr>
      <w:r>
        <w:t xml:space="preserve">Os dois scanners foram executados sobre o mesmo arquivo válido do subconjunto e as saídas comparadas token a token, incluindo linha e coluna: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$ diff &lt;(grep '^[0-9]' saida_flex_sub_valido.txt) \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    &lt;(grep '^[0-9]' saida_manual_sub_valido.txt)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$ echo $?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0</w:t>
      </w:r>
    </w:p>
    <w:p>
      <w:pPr>
        <w:spacing w:after="140"/>
      </w:pPr>
      <w:r>
        <w:t xml:space="preserve">As 79 linhas são idênticas. Essa é a validação cruzada da trilha manual: o autômato construído à mão e o gerado pelo Flex reconhecem exatamente a mesma sequência de tokens, nas mesmas posições.</w:t>
      </w:r>
    </w:p>
    <w:p>
      <w:pPr>
        <w:spacing w:after="140"/>
      </w:pPr>
      <w:r>
        <w:t xml:space="preserve">Sobre o arquivo da BNF completa as saídas divergem, e a divergência é esperada, porque as duas trilhas cobrem linguagens diferentes: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scanner manual acusa caracteres como ponto e vírgula e chaves como inválidos. Eles não pertencem ao alfabeto do subconjunto, que vem das regras 18 a 27. O scanner do Flex os reconhece porque cobre a BNF inteira.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scanner manual quebra 12abc em NUM seguido de ID, resultado correto do maior casamento possível. O Flex reporta erro por causa da regra explícita de número mal formado descrita na seção 10.</w:t>
      </w:r>
    </w:p>
    <w:p>
      <w:pPr>
        <w:spacing w:after="0"/>
      </w:pPr>
      <w:r>
        <w:t xml:space="preserve">Nenhuma das duas indica erro de construção. A primeira é consequência do recorte do subconjunto e a segunda de uma regra declarada a mais na especificação Flex.</w:t>
      </w:r>
    </w:p>
    <w:p>
      <w:pPr>
        <w:pStyle w:val="Heading1"/>
        <w:spacing w:after="160" w:before="320"/>
      </w:pPr>
      <w:r>
        <w:t xml:space="preserve">13. Decisões de projeto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subconjunto foi fechado com as regras auxiliares 19, 21 e 27, sem as quais os terminais referenciados pelas regras 20 e 26 ficariam indefinidos.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variante de Thompson para o fecho de Kleene faz o retorno sair do estado final da estrela e voltar ao início do corpo.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partição inicial da minimização tem um bloco por rótulo de token, e não apenas finais contra não finais.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estado de erro é implícito nas tabelas, representado pela ausência de transição.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Número colado em letra é erro léxico na especificação Flex, por regra explícita, e não no autômato manual.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Comentários e espaços em branco são descartados fora do autômato de tokens, no laço do scanner.</w:t>
      </w:r>
    </w:p>
    <w:p>
      <w:pPr>
        <w:pStyle w:val="Heading1"/>
        <w:spacing w:after="160" w:before="320"/>
      </w:pPr>
      <w:r>
        <w:t xml:space="preserve">14. Etapas seguintes</w:t>
      </w:r>
    </w:p>
    <w:p>
      <w:pPr>
        <w:spacing w:after="140"/>
      </w:pPr>
      <w:r>
        <w:t xml:space="preserve">Esta entrega encerra o analisador léxico. As próximas etapas são o analisador sintático e semântico, a tradução para código MIPS e a execução em simulador.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Apêndice A — construção inicial sobre a regra 22</w:t>
      </w:r>
    </w:p>
    <w:p>
      <w:pPr>
        <w:spacing w:after="140"/>
      </w:pPr>
      <w:r>
        <w:t xml:space="preserve">Antes de o subconjunto ser fechado, o grupo desenvolveu por completo a construção para a expressão aditiva isolada, tratando a regra 22 como uma linguagem única em vez de um conjunto de tokens. O material é mantido aqui porque ilustra o método aplicado a um caso pequeno o bastante para ser acompanhado inteiro à mão.</w:t>
      </w:r>
    </w:p>
    <w:p>
      <w:pPr>
        <w:spacing w:after="140"/>
      </w:pPr>
      <w:r>
        <w:t xml:space="preserve">Alfabeto </w:t>
      </w:r>
      <w:r>
        <w:rPr>
          <w:rFonts w:ascii="Courier New" w:cs="Courier New" w:eastAsia="Courier New" w:hAnsi="Courier New"/>
          <w:sz w:val="19"/>
          <w:szCs w:val="19"/>
        </w:rPr>
        <w:t xml:space="preserve">Σ = {0..9, +, -}</w:t>
      </w:r>
      <w:r>
        <w:t xml:space="preserve"> e expressão regular: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ER = NUM · addop · NUM · (addop · NUM)*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7"/>
          <w:szCs w:val="17"/>
        </w:rPr>
        <w:t xml:space="preserve">   = D · D* · addop · D · D* · (addop · D · D*)*</w:t>
      </w:r>
    </w:p>
    <w:p>
      <w:pPr>
        <w:spacing w:after="140"/>
      </w:pPr>
      <w:r>
        <w:t xml:space="preserve">O NFA de Thompson correspondente tem 24 estados, montados em três blocos concatenados.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000250"/>
            <wp:effectExtent t="0" r="0" b="0" l="0"/>
            <wp:docPr id="5" name="Figura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m 105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Figura A1 — Bloco D · D* (S0 a S5)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000250"/>
            <wp:effectExtent t="0" r="0" b="0" l="0"/>
            <wp:docPr id="6" name="Figura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m 106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Figura A2 — Bloco addop · D · D* (S6 a S13)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90800"/>
            <wp:effectExtent t="0" r="0" b="0" l="0"/>
            <wp:docPr id="7" name="Figura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m 107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Figura A3 — Bloco (addop · D · D*)* (S14 a S23)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4514850"/>
            <wp:effectExtent t="0" r="0" b="0" l="0"/>
            <wp:docPr id="8" name="Figura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m 108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Figura A4 — NFA completo, 24 estados</w:t>
      </w:r>
    </w:p>
    <w:p>
      <w:pPr>
        <w:spacing w:after="140"/>
      </w:pPr>
      <w:r>
        <w:t xml:space="preserve">A construção de subconjuntos gera nove estados, nomeados de A a I: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A = e(S0)  = {S0}                             move(A,D)={S1}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B = e(S1)  = {S1,S2,S3,S5,S6}                 move(B,D)={S4}    move(B,addop)={S7}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C = e(S4)  = {S3,S4,S5,S6}                    move(C,D)={S4}    move(C,addop)={S7}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D = e(S7)  = {S7,S8}                          move(D,D)={S9}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E = e(S9)  = {S9,S10,S11,S13,S14,S15,S23}     move(E,D)={S12}   move(E,addop)={S16}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F = e(S12) = {S11,S12,S13,S14,S15,S23}        move(F,D)={S12}   move(F,addop)={S16}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G = e(S16) = {S16,S17}                        move(G,D)={S18}</w:t>
      </w:r>
    </w:p>
    <w:p>
      <w:pPr>
        <w:spacing w:after="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H = e(S18) = {S15,S18,S19,S20,S22,S23}        move(H,D)={S21}   move(H,addop)={S16}</w:t>
      </w:r>
    </w:p>
    <w:p>
      <w:pPr>
        <w:spacing w:after="160" w:line="230"/>
        <w:ind w:left="300"/>
      </w:pPr>
      <w:r>
        <w:rPr>
          <w:rFonts w:ascii="Courier New" w:cs="Courier New" w:eastAsia="Courier New" w:hAnsi="Courier New"/>
          <w:sz w:val="15"/>
          <w:szCs w:val="15"/>
        </w:rPr>
        <w:t xml:space="preserve">I = e(S21) = {S15,S20,S21,S22,S23}            move(I,D)={S21}   move(I,addop)={S16}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3638550"/>
            <wp:effectExtent t="0" r="0" b="0" l="0"/>
            <wp:docPr id="9" name="Figura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m 109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Figura A5 — DFA de subconjuntos, nove estados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4332"/>
        <w:gridCol w:w="1444"/>
        <w:gridCol w:w="2438"/>
      </w:tblGrid>
      <w:tr>
        <w:trPr>
          <w:tblHeader/>
        </w:trPr>
        <w:tc>
          <w:tcPr>
            <w:tcW w:type="dxa" w:w="812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Passo</w:t>
            </w:r>
          </w:p>
        </w:tc>
        <w:tc>
          <w:tcPr>
            <w:tcW w:type="dxa" w:w="4332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Partição</w:t>
            </w:r>
          </w:p>
        </w:tc>
        <w:tc>
          <w:tcPr>
            <w:tcW w:type="dxa" w:w="1444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Símbolo</w:t>
            </w:r>
          </w:p>
        </w:tc>
        <w:tc>
          <w:tcPr>
            <w:tcW w:type="dxa" w:w="2438"/>
            <w:shd w:fill="EDED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Split</w:t>
            </w:r>
          </w:p>
        </w:tc>
      </w:tr>
      <w:tr>
        <w:tc>
          <w:tcPr>
            <w:tcW w:type="dxa" w:w="81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{A, B, C, D, G} {E, F, H, I}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43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{A, B, C} {D, G}</w:t>
            </w:r>
          </w:p>
        </w:tc>
      </w:tr>
      <w:tr>
        <w:tc>
          <w:tcPr>
            <w:tcW w:type="dxa" w:w="81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{A, B, C} {D, G} {E, F, H, I}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addop</w:t>
            </w:r>
          </w:p>
        </w:tc>
        <w:tc>
          <w:tcPr>
            <w:tcW w:type="dxa" w:w="243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{A} {B, C}</w:t>
            </w:r>
          </w:p>
        </w:tc>
      </w:tr>
      <w:tr>
        <w:tc>
          <w:tcPr>
            <w:tcW w:type="dxa" w:w="81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{A} {B, C} {D, G} {E, F, H, I}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43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1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{A} {B, C} {D, G} {E, F, H, I}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addop</w:t>
            </w:r>
          </w:p>
        </w:tc>
        <w:tc>
          <w:tcPr>
            <w:tcW w:type="dxa" w:w="243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114550"/>
            <wp:effectExtent t="0" r="0" b="0" l="0"/>
            <wp:docPr id="10" name="Figura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m 110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18"/>
          <w:szCs w:val="18"/>
        </w:rPr>
        <w:t xml:space="preserve">Figura A6 — DFA mínimo, quatro estados (G1 a G4)</w:t>
      </w:r>
    </w:p>
    <w:p>
      <w:pPr>
        <w:spacing w:after="0"/>
      </w:pPr>
      <w:r>
        <w:t xml:space="preserve">De 24 estados no NFA para 4 no mínimo. A diferença em relação ao autômato da seção 8 é que ali o objetivo é emitir tokens, o que impede a maior parte dos estados finais de colapsar.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852f36052cdf5328835cea71b6be910893c2fb.png"/><Relationship Id="rId9" Type="http://schemas.openxmlformats.org/officeDocument/2006/relationships/image" Target="media/d1e71f2b0a27cb23d7fad33df8ad25d5164890dd.png"/><Relationship Id="rId10" Type="http://schemas.openxmlformats.org/officeDocument/2006/relationships/image" Target="media/42dc5ca8976b7e7cf3f1d736019907e9bb5e7eab.png"/><Relationship Id="rId11" Type="http://schemas.openxmlformats.org/officeDocument/2006/relationships/image" Target="media/23958dbb5a5dd824586cb9c80d5494f83da2a779.png"/><Relationship Id="rId12" Type="http://schemas.openxmlformats.org/officeDocument/2006/relationships/image" Target="media/928390252b97b17104a6541b3527dcbabf9d3cf1.png"/><Relationship Id="rId13" Type="http://schemas.openxmlformats.org/officeDocument/2006/relationships/image" Target="media/f393f8930b523271b47eabff9cd1eca120cf73fd.png"/><Relationship Id="rId14" Type="http://schemas.openxmlformats.org/officeDocument/2006/relationships/image" Target="media/776f68cec72b1022b37feaa81a178d2bffca6b32.png"/><Relationship Id="rId15" Type="http://schemas.openxmlformats.org/officeDocument/2006/relationships/image" Target="media/a7a22f145fde0f0b8d1585bc6915de65ee31ae0d.png"/><Relationship Id="rId16" Type="http://schemas.openxmlformats.org/officeDocument/2006/relationships/image" Target="media/29cec59568338b7cfce544e610228b98bb30bddb.png"/><Relationship Id="rId17" Type="http://schemas.openxmlformats.org/officeDocument/2006/relationships/image" Target="media/2fd51db7477a74641ad0c8ad6444f80220cb357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2026-09-20T23:02:20.607Z</dcterms:created>
  <dcterms:modified xsi:type="dcterms:W3CDTF">2026-09-20T23:02:20.616Z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