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237BB10D" w14:textId="4485B1A8" w:rsidR="00CE163F" w:rsidRDefault="00CE163F" w:rsidP="00A732B2"/>
    <w:p w14:paraId="5B87F8FF" w14:textId="57FD6567" w:rsidR="00967CB7" w:rsidRDefault="00967CB7" w:rsidP="00A732B2"/>
    <w:p w14:paraId="7A4FC4C9" w14:textId="77777777" w:rsidR="00182F76" w:rsidRDefault="00182F76" w:rsidP="00A732B2"/>
    <w:p w14:paraId="50429E8B" w14:textId="77777777" w:rsidR="00E65C91" w:rsidRDefault="00E65C91" w:rsidP="00A732B2">
      <w:r w:rsidRPr="00E65C91">
        <w:t xml:space="preserve">CT 009.01 - Preencher campo "valor de financiamento" com valor mínimo e máximo exigido pela regra de negócio.  </w:t>
      </w:r>
    </w:p>
    <w:p w14:paraId="705928BA" w14:textId="557B3E69" w:rsidR="00D422DE" w:rsidRDefault="00E65C91" w:rsidP="00A732B2">
      <w:r>
        <w:rPr>
          <w:noProof/>
        </w:rPr>
        <w:drawing>
          <wp:inline distT="0" distB="0" distL="0" distR="0" wp14:anchorId="7416190F" wp14:editId="191C1534">
            <wp:extent cx="5400040" cy="3034030"/>
            <wp:effectExtent l="0" t="0" r="0" b="0"/>
            <wp:docPr id="955413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3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0F4902"/>
    <w:rsid w:val="00182F76"/>
    <w:rsid w:val="00226B25"/>
    <w:rsid w:val="0054714B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E65C91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2026-03-05T21:22:00Z</dcterms:created>
  <dcterms:modified xsi:type="dcterms:W3CDTF">2026-03-05T21:22:00Z</dcterms:modified>
</cp:coreProperties>
</file>