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Trendanalyse ter onderbouwing van een HYROX-geinspireerd beweegconcept</w:t>
      </w:r>
    </w:p>
    <w:p>
      <w:pPr>
        <w:jc w:val="center"/>
      </w:pPr>
      <w:r>
        <w:rPr>
          <w:i/>
          <w:sz w:val="24"/>
        </w:rPr>
        <w:t>Blue Zone / Green Blue Zone bij NMHC Nijmegen</w:t>
      </w:r>
    </w:p>
    <w:p>
      <w:r>
        <w:t>Versie voor Word - zonder markdowntekens of kopieeropmaak</w:t>
      </w:r>
    </w:p>
    <w:p>
      <w:pPr>
        <w:pStyle w:val="Heading1"/>
      </w:pPr>
      <w:r>
        <w:t>1. Inleiding</w:t>
      </w:r>
    </w:p>
    <w:p>
      <w:r>
        <w:t>NMHC Nijmegen onderzoekt hoe het terrein aan de d'Almarasweg kan worden versterkt als plek waar sport, bewegen, gezondheid, ontmoeting en groen samenkomen. Binnen dat idee past de gedachte van een Blue Zone: een omgeving die gezond gedrag makkelijker en aantrekkelijker maakt. In deze trendanalyse wordt niet het volledige concept opnieuw uitgewerkt, maar wordt vooral onderbouwd waarom een HYROX-geinspireerd beweegconcept een logische en kansrijke keuze is.</w:t>
      </w:r>
    </w:p>
    <w:p>
      <w:r>
        <w:t>Een HYROX-geinspireerd concept combineert hardlopen met functionele oefeningen zoals dragen, duwen, springen, lunges, core-oefeningen en korte sprintvormen. Het gaat hierbij niet om het commercieel gebruiken van het officiele HYROX-merk, maar om een eigen functional fitness route of challenge hub die aansluit bij dezelfde sportieve trend: meetbaar, sociaal, uitdagend en schaalbaar naar verschillende niveaus.</w:t>
      </w:r>
    </w:p>
    <w:p>
      <w:r>
        <w:t>De centrale vraag van deze trendanalyse is daarom: welke actuele trends binnen sport, gezondheid, buitenruimte en activatie ondersteunen de keuze voor een HYROX-geinspireerd concept bij NMHC Nijmegen?</w:t>
      </w:r>
    </w:p>
    <w:p>
      <w:pPr>
        <w:pStyle w:val="Heading1"/>
      </w:pPr>
      <w:r>
        <w:t>2. Trendanalyse</w:t>
      </w:r>
    </w:p>
    <w:p>
      <w:pPr>
        <w:pStyle w:val="Heading2"/>
      </w:pPr>
      <w:r>
        <w:t>2.1 Trend 1: Sport wordt individueler, maar mensen zoeken wel verbinding</w:t>
      </w:r>
    </w:p>
    <w:p>
      <w:r>
        <w:t>Een duidelijke ontwikkeling in sport is dat mensen vaker op hun eigen moment willen sporten. Fitness, hardlopen, wandelen en informele vormen van bewegen passen goed bij drukke agenda's, studie, werk en gezinsleven. Tegelijkertijd betekent individualisering niet dat mensen alleen willen sporten. Juist laagdrempelige groepstrainingen, runclubs, challenges en sportevents zijn populair omdat ze vrijheid combineren met sociale verbinding.</w:t>
      </w:r>
    </w:p>
    <w:p>
      <w:r>
        <w:t>Voor NMHC is dit belangrijk. Een HYROX-geinspireerde route kan buiten trainingstijden zelfstandig gebruikt worden, maar ook als teamchallenge, conditietraining of clubactiviteit. Daarmee sluit het concept aan bij twee behoeften tegelijk: flexibel sporten en samen iets beleven. Dit maakt het sterker dan een losse wandelroute of alleen een fitnessplek, omdat het zowel individueel als in groepsvorm werkt.</w:t>
      </w:r>
    </w:p>
    <w:p>
      <w:pPr>
        <w:pStyle w:val="Heading2"/>
      </w:pPr>
      <w:r>
        <w:t>2.2 Trend 2: Hardlopen blijft een sterke basis voor laagdrempelig bewegen</w:t>
      </w:r>
    </w:p>
    <w:p>
      <w:r>
        <w:t>Hardlopen is een toegankelijke sportvorm omdat er weinig materiaal nodig is en mensen zelf hun intensiteit kunnen bepalen. Voor sportverenigingen is hardlopen bovendien makkelijk te koppelen aan warming-up, conditietraining en evenementen. Binnen een Blue Zone is hardlopen interessant omdat het de verbinding legt tussen het sportpark, de groene omgeving en omwonenden.</w:t>
      </w:r>
    </w:p>
    <w:p>
      <w:r>
        <w:t>Een HYROX-geinspireerd concept gebruikt hardlopen als vaste basis, maar maakt het interessanter door onderweg functionele oefeningen toe te voegen. Hierdoor ontstaat meer variatie dan bij een gewone hardlooproute. Voor hockeyers is dit relevant, omdat hockey niet alleen duurvermogen vraagt, maar ook versnellen, afremmen, wendbaarheid, kracht en herstelvermogen.</w:t>
      </w:r>
    </w:p>
    <w:p>
      <w:pPr>
        <w:pStyle w:val="Heading2"/>
      </w:pPr>
      <w:r>
        <w:t>2.3 Trend 3: Functionele fitness en hybride training groeien</w:t>
      </w:r>
    </w:p>
    <w:p>
      <w:r>
        <w:t>Functionele fitness richt zich op bewegingen die lijken op dagelijkse en sportieve handelingen, zoals tillen, dragen, duwen, springen, squatten en roteren. De populariteit hiervan past bij een bredere gezondheidsontwikkeling: mensen willen niet alleen slanker worden, maar sterker, fitter en belastbaarder zijn. Ook in internationale fitnessranglijsten blijven krachttraining, functionele training, wearables, apps en programma's voor verschillende doelgroepen belangrijk (ACSM, 2024).</w:t>
      </w:r>
    </w:p>
    <w:p>
      <w:r>
        <w:t>Hybride training is een combinatie van duurvermogen en kracht. Dit past precies bij de logica achter HYROX: hardlopen wordt afgewisseld met functionele stations. Voor NMHC is dit een sterke onderbouwing, omdat hockeyers ook hybride sporters zijn. Ze hebben conditie nodig om een wedstrijd vol te houden, maar ook kracht, explosiviteit en stabiliteit voor sprints, duels en richtingsveranderingen.</w:t>
      </w:r>
    </w:p>
    <w:p>
      <w:pPr>
        <w:pStyle w:val="Heading2"/>
      </w:pPr>
      <w:r>
        <w:t>2.4 Trend 4: Gezondheid verschuift naar preventie, vitaliteit en leefstijl</w:t>
      </w:r>
    </w:p>
    <w:p>
      <w:r>
        <w:t>Gezondheid wordt steeds vaker bekeken vanuit preventie: voorkomen dat mensen inactief, kwetsbaar of ongezond worden. De Nederlandse beweegrichtlijnen adviseren volwassenen om wekelijks minimaal 150 minuten matig intensief te bewegen en minimaal twee keer per week spier- en botversterkende activiteiten te doen. Voor ouderen worden ook balansoefeningen geadviseerd (RIVM, 2026).</w:t>
      </w:r>
    </w:p>
    <w:p>
      <w:r>
        <w:t>Een HYROX-geinspireerde route past goed bij deze richtlijnen, omdat het duurinspanning combineert met spierversterkende oefeningen. Door oefeningen in niveaus aan te bieden, kan het concept ook minder sportieve gebruikers aanspreken. Denk aan wandelen in plaats van hardlopen, lichtere carries, lagere aantallen herhalingen of oefeningen zonder tijdsdruk. Zo wordt het concept niet alleen interessant voor fanatieke sporters, maar ook voor recreanten, studenten, omwonenden en oudere gebruikers.</w:t>
      </w:r>
    </w:p>
    <w:p>
      <w:pPr>
        <w:pStyle w:val="Heading2"/>
      </w:pPr>
      <w:r>
        <w:t>2.5 Trend 5: Buitenruimte wordt steeds meer gebruikt als beweegomgeving</w:t>
      </w:r>
    </w:p>
    <w:p>
      <w:r>
        <w:t>Sport en bewegen vinden niet meer alleen plaats binnen sporthallen, sportscholen of verenigingsvelden. Gemeenten, sportclubs en gezondheidsorganisaties kijken steeds vaker naar de openbare ruimte als plek om gezond gedrag te stimuleren. Een beweegvriendelijke omgeving nodigt uit tot wandelen, fietsen, spelen, trainen en ontmoeten. Dit past bij de Green Blue Zone gedachte rondom NMHC, zeker door de link met groen en de omgeving van de Groene Corridor.</w:t>
      </w:r>
    </w:p>
    <w:p>
      <w:r>
        <w:t>Voor een sportpark betekent dit dat het terrein meer kan zijn dan een plek voor alleen hockeywedstrijden. Door een route met trainingsstations toe te voegen, wordt het sportpark multifunctioneler. Het terrein krijgt waarde voor leden, maar ook voor omwonenden, studenten, bedrijven en maatschappelijke partners. Dat versterkt de maatschappelijke positie van NMHC.</w:t>
      </w:r>
    </w:p>
    <w:p>
      <w:pPr>
        <w:pStyle w:val="Heading2"/>
      </w:pPr>
      <w:r>
        <w:t>2.6 Trend 6: Sportevents en challenges zorgen voor motivatie en zichtbaarheid</w:t>
      </w:r>
    </w:p>
    <w:p>
      <w:r>
        <w:t>Challenges werken goed omdat ze concreet, meetbaar en sociaal zijn. Mensen vinden het motiverend om ergens naartoe te trainen, hun voortgang te zien en samen met anderen een prestatie neer te zetten. HYROX is internationaal bekend geworden door een gestandaardiseerd format van hardlopen en functionele stations. Het format is herkenbaar en vergelijkbaar, maar kan lokaal op een eigen manier worden vertaald naar een clubchallenge of functional fitness route.</w:t>
      </w:r>
    </w:p>
    <w:p>
      <w:r>
        <w:t>Voor NMHC is vooral de evenementenwaarde relevant. Een HYROX-geinspireerde route kan worden gebruikt voor teamtesten, sponsoracties, introductiedagen, ouder-kind challenges, studentenevents en vitaliteitsdagen voor bedrijven. Daarmee draagt het concept niet alleen bij aan bewegen, maar ook aan zichtbaarheid, inkomstenkansen en samenwerking met partners.</w:t>
      </w:r>
    </w:p>
    <w:p>
      <w:pPr>
        <w:pStyle w:val="Heading2"/>
      </w:pPr>
      <w:r>
        <w:t>2.7 Trend 7: Digitalisering maakt bewegen toegankelijker en leuker</w:t>
      </w:r>
    </w:p>
    <w:p>
      <w:r>
        <w:t>Digitale middelen worden steeds normaler in sport en leefstijl. Denk aan QR-codes met uitleg, apps, Strava-segmenten, tijdregistratie, online klassementen en social media. Voor een lokale beweegroute hoeft digitalisering niet ingewikkeld te zijn. Met QR-codes bij stations kan NMHC uitleg geven over techniek, niveaus, veiligheid en voorbeeldtrainingen.</w:t>
      </w:r>
    </w:p>
    <w:p>
      <w:r>
        <w:t>Digitalisering helpt ook om de route laagdrempelig te maken. Beginners kunnen een rustige variant kiezen, teams kunnen een challenge starten en fanatieke sporters kunnen hun tijd bijhouden. Hierdoor wordt hetzelfde fysieke concept geschikt voor meerdere doelgroepen.</w:t>
      </w:r>
    </w:p>
    <w:p>
      <w:pPr>
        <w:pStyle w:val="Heading1"/>
      </w:pPr>
      <w:r>
        <w:t>3. Samenvatting van trends en betekenis voor HYROX-keuze</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7"/>
          </w:tcPr>
          <w:p>
            <w:r>
              <w:rPr>
                <w:sz w:val="17"/>
              </w:rPr>
            </w:r>
            <w:r>
              <w:rPr>
                <w:b/>
                <w:sz w:val="18"/>
              </w:rPr>
              <w:t>Trend</w:t>
            </w:r>
          </w:p>
        </w:tc>
        <w:tc>
          <w:tcPr>
            <w:tcW w:type="dxa" w:w="3249"/>
            <w:vAlign w:val="center"/>
            <w:shd w:fill="D9EAF7"/>
          </w:tcPr>
          <w:p>
            <w:r>
              <w:rPr>
                <w:sz w:val="17"/>
              </w:rPr>
            </w:r>
            <w:r>
              <w:rPr>
                <w:b/>
                <w:sz w:val="18"/>
              </w:rPr>
              <w:t>Wat betekent dit?</w:t>
            </w:r>
          </w:p>
        </w:tc>
        <w:tc>
          <w:tcPr>
            <w:tcW w:type="dxa" w:w="3249"/>
            <w:vAlign w:val="center"/>
            <w:shd w:fill="D9EAF7"/>
          </w:tcPr>
          <w:p>
            <w:r>
              <w:rPr>
                <w:sz w:val="17"/>
              </w:rPr>
            </w:r>
            <w:r>
              <w:rPr>
                <w:b/>
                <w:sz w:val="18"/>
              </w:rPr>
              <w:t>Waarom ondersteunt dit de HYROX-keuze?</w:t>
            </w:r>
          </w:p>
        </w:tc>
      </w:tr>
      <w:tr>
        <w:tc>
          <w:tcPr>
            <w:tcW w:type="dxa" w:w="3249"/>
            <w:vAlign w:val="center"/>
          </w:tcPr>
          <w:p>
            <w:r>
              <w:rPr>
                <w:sz w:val="17"/>
              </w:rPr>
            </w:r>
            <w:r>
              <w:rPr>
                <w:b w:val="0"/>
                <w:sz w:val="18"/>
              </w:rPr>
              <w:t>Individueel en sociaal sporten</w:t>
            </w:r>
          </w:p>
        </w:tc>
        <w:tc>
          <w:tcPr>
            <w:tcW w:type="dxa" w:w="3249"/>
            <w:vAlign w:val="center"/>
          </w:tcPr>
          <w:p>
            <w:r>
              <w:rPr>
                <w:sz w:val="17"/>
              </w:rPr>
            </w:r>
            <w:r>
              <w:rPr>
                <w:b w:val="0"/>
                <w:sz w:val="18"/>
              </w:rPr>
              <w:t>Sporters willen flexibel sporten, maar ook verbinding ervaren.</w:t>
            </w:r>
          </w:p>
        </w:tc>
        <w:tc>
          <w:tcPr>
            <w:tcW w:type="dxa" w:w="3249"/>
            <w:vAlign w:val="center"/>
          </w:tcPr>
          <w:p>
            <w:r>
              <w:rPr>
                <w:sz w:val="17"/>
              </w:rPr>
            </w:r>
            <w:r>
              <w:rPr>
                <w:b w:val="0"/>
                <w:sz w:val="18"/>
              </w:rPr>
              <w:t>De route is zelfstandig te gebruiken en inzetbaar als teamchallenge.</w:t>
            </w:r>
          </w:p>
        </w:tc>
      </w:tr>
      <w:tr>
        <w:tc>
          <w:tcPr>
            <w:tcW w:type="dxa" w:w="3249"/>
            <w:vAlign w:val="center"/>
          </w:tcPr>
          <w:p>
            <w:r>
              <w:rPr>
                <w:sz w:val="17"/>
              </w:rPr>
            </w:r>
            <w:r>
              <w:rPr>
                <w:b w:val="0"/>
                <w:sz w:val="18"/>
              </w:rPr>
              <w:t>Populariteit van hardlopen</w:t>
            </w:r>
          </w:p>
        </w:tc>
        <w:tc>
          <w:tcPr>
            <w:tcW w:type="dxa" w:w="3249"/>
            <w:vAlign w:val="center"/>
          </w:tcPr>
          <w:p>
            <w:r>
              <w:rPr>
                <w:sz w:val="17"/>
              </w:rPr>
            </w:r>
            <w:r>
              <w:rPr>
                <w:b w:val="0"/>
                <w:sz w:val="18"/>
              </w:rPr>
              <w:t>Hardlopen is laagdrempelig, goedkoop en makkelijk te organiseren.</w:t>
            </w:r>
          </w:p>
        </w:tc>
        <w:tc>
          <w:tcPr>
            <w:tcW w:type="dxa" w:w="3249"/>
            <w:vAlign w:val="center"/>
          </w:tcPr>
          <w:p>
            <w:r>
              <w:rPr>
                <w:sz w:val="17"/>
              </w:rPr>
            </w:r>
            <w:r>
              <w:rPr>
                <w:b w:val="0"/>
                <w:sz w:val="18"/>
              </w:rPr>
              <w:t>Hardlopen vormt de basis van het concept en past bij conditietraining.</w:t>
            </w:r>
          </w:p>
        </w:tc>
      </w:tr>
      <w:tr>
        <w:tc>
          <w:tcPr>
            <w:tcW w:type="dxa" w:w="3249"/>
            <w:vAlign w:val="center"/>
          </w:tcPr>
          <w:p>
            <w:r>
              <w:rPr>
                <w:sz w:val="17"/>
              </w:rPr>
            </w:r>
            <w:r>
              <w:rPr>
                <w:b w:val="0"/>
                <w:sz w:val="18"/>
              </w:rPr>
              <w:t>Functionele fitness</w:t>
            </w:r>
          </w:p>
        </w:tc>
        <w:tc>
          <w:tcPr>
            <w:tcW w:type="dxa" w:w="3249"/>
            <w:vAlign w:val="center"/>
          </w:tcPr>
          <w:p>
            <w:r>
              <w:rPr>
                <w:sz w:val="17"/>
              </w:rPr>
            </w:r>
            <w:r>
              <w:rPr>
                <w:b w:val="0"/>
                <w:sz w:val="18"/>
              </w:rPr>
              <w:t>Meer aandacht voor kracht, mobiliteit en praktische bewegingen.</w:t>
            </w:r>
          </w:p>
        </w:tc>
        <w:tc>
          <w:tcPr>
            <w:tcW w:type="dxa" w:w="3249"/>
            <w:vAlign w:val="center"/>
          </w:tcPr>
          <w:p>
            <w:r>
              <w:rPr>
                <w:sz w:val="17"/>
              </w:rPr>
            </w:r>
            <w:r>
              <w:rPr>
                <w:b w:val="0"/>
                <w:sz w:val="18"/>
              </w:rPr>
              <w:t>Stations met carries, lunges, core en sprongen sluiten direct aan.</w:t>
            </w:r>
          </w:p>
        </w:tc>
      </w:tr>
      <w:tr>
        <w:tc>
          <w:tcPr>
            <w:tcW w:type="dxa" w:w="3249"/>
            <w:vAlign w:val="center"/>
          </w:tcPr>
          <w:p>
            <w:r>
              <w:rPr>
                <w:sz w:val="17"/>
              </w:rPr>
            </w:r>
            <w:r>
              <w:rPr>
                <w:b w:val="0"/>
                <w:sz w:val="18"/>
              </w:rPr>
              <w:t>Hybride training</w:t>
            </w:r>
          </w:p>
        </w:tc>
        <w:tc>
          <w:tcPr>
            <w:tcW w:type="dxa" w:w="3249"/>
            <w:vAlign w:val="center"/>
          </w:tcPr>
          <w:p>
            <w:r>
              <w:rPr>
                <w:sz w:val="17"/>
              </w:rPr>
            </w:r>
            <w:r>
              <w:rPr>
                <w:b w:val="0"/>
                <w:sz w:val="18"/>
              </w:rPr>
              <w:t>Combinatie van duurvermogen en kracht wordt aantrekkelijker.</w:t>
            </w:r>
          </w:p>
        </w:tc>
        <w:tc>
          <w:tcPr>
            <w:tcW w:type="dxa" w:w="3249"/>
            <w:vAlign w:val="center"/>
          </w:tcPr>
          <w:p>
            <w:r>
              <w:rPr>
                <w:sz w:val="17"/>
              </w:rPr>
            </w:r>
            <w:r>
              <w:rPr>
                <w:b w:val="0"/>
                <w:sz w:val="18"/>
              </w:rPr>
              <w:t>HYROX-geinspireerd trainen combineert precies deze onderdelen.</w:t>
            </w:r>
          </w:p>
        </w:tc>
      </w:tr>
      <w:tr>
        <w:tc>
          <w:tcPr>
            <w:tcW w:type="dxa" w:w="3249"/>
            <w:vAlign w:val="center"/>
          </w:tcPr>
          <w:p>
            <w:r>
              <w:rPr>
                <w:sz w:val="17"/>
              </w:rPr>
            </w:r>
            <w:r>
              <w:rPr>
                <w:b w:val="0"/>
                <w:sz w:val="18"/>
              </w:rPr>
              <w:t>Preventieve gezondheid</w:t>
            </w:r>
          </w:p>
        </w:tc>
        <w:tc>
          <w:tcPr>
            <w:tcW w:type="dxa" w:w="3249"/>
            <w:vAlign w:val="center"/>
          </w:tcPr>
          <w:p>
            <w:r>
              <w:rPr>
                <w:sz w:val="17"/>
              </w:rPr>
            </w:r>
            <w:r>
              <w:rPr>
                <w:b w:val="0"/>
                <w:sz w:val="18"/>
              </w:rPr>
              <w:t>Meer focus op vitaliteit en voldoende bewegen.</w:t>
            </w:r>
          </w:p>
        </w:tc>
        <w:tc>
          <w:tcPr>
            <w:tcW w:type="dxa" w:w="3249"/>
            <w:vAlign w:val="center"/>
          </w:tcPr>
          <w:p>
            <w:r>
              <w:rPr>
                <w:sz w:val="17"/>
              </w:rPr>
            </w:r>
            <w:r>
              <w:rPr>
                <w:b w:val="0"/>
                <w:sz w:val="18"/>
              </w:rPr>
              <w:t>Het concept combineert conditie met spierversterkende activiteit.</w:t>
            </w:r>
          </w:p>
        </w:tc>
      </w:tr>
      <w:tr>
        <w:tc>
          <w:tcPr>
            <w:tcW w:type="dxa" w:w="3249"/>
            <w:vAlign w:val="center"/>
          </w:tcPr>
          <w:p>
            <w:r>
              <w:rPr>
                <w:sz w:val="17"/>
              </w:rPr>
            </w:r>
            <w:r>
              <w:rPr>
                <w:b w:val="0"/>
                <w:sz w:val="18"/>
              </w:rPr>
              <w:t>Bewegen in het groen</w:t>
            </w:r>
          </w:p>
        </w:tc>
        <w:tc>
          <w:tcPr>
            <w:tcW w:type="dxa" w:w="3249"/>
            <w:vAlign w:val="center"/>
          </w:tcPr>
          <w:p>
            <w:r>
              <w:rPr>
                <w:sz w:val="17"/>
              </w:rPr>
            </w:r>
            <w:r>
              <w:rPr>
                <w:b w:val="0"/>
                <w:sz w:val="18"/>
              </w:rPr>
              <w:t>Buitenruimte wordt steeds vaker gebruikt voor gezondheid en ontmoeting.</w:t>
            </w:r>
          </w:p>
        </w:tc>
        <w:tc>
          <w:tcPr>
            <w:tcW w:type="dxa" w:w="3249"/>
            <w:vAlign w:val="center"/>
          </w:tcPr>
          <w:p>
            <w:r>
              <w:rPr>
                <w:sz w:val="17"/>
              </w:rPr>
            </w:r>
            <w:r>
              <w:rPr>
                <w:b w:val="0"/>
                <w:sz w:val="18"/>
              </w:rPr>
              <w:t>De Green Blue Zone krijgt een actieve en zichtbare invulling.</w:t>
            </w:r>
          </w:p>
        </w:tc>
      </w:tr>
      <w:tr>
        <w:tc>
          <w:tcPr>
            <w:tcW w:type="dxa" w:w="3249"/>
            <w:vAlign w:val="center"/>
          </w:tcPr>
          <w:p>
            <w:r>
              <w:rPr>
                <w:sz w:val="17"/>
              </w:rPr>
            </w:r>
            <w:r>
              <w:rPr>
                <w:b w:val="0"/>
                <w:sz w:val="18"/>
              </w:rPr>
              <w:t>Events en challenges</w:t>
            </w:r>
          </w:p>
        </w:tc>
        <w:tc>
          <w:tcPr>
            <w:tcW w:type="dxa" w:w="3249"/>
            <w:vAlign w:val="center"/>
          </w:tcPr>
          <w:p>
            <w:r>
              <w:rPr>
                <w:sz w:val="17"/>
              </w:rPr>
            </w:r>
            <w:r>
              <w:rPr>
                <w:b w:val="0"/>
                <w:sz w:val="18"/>
              </w:rPr>
              <w:t>Meetbare uitdagingen zorgen voor motivatie en clubgevoel.</w:t>
            </w:r>
          </w:p>
        </w:tc>
        <w:tc>
          <w:tcPr>
            <w:tcW w:type="dxa" w:w="3249"/>
            <w:vAlign w:val="center"/>
          </w:tcPr>
          <w:p>
            <w:r>
              <w:rPr>
                <w:sz w:val="17"/>
              </w:rPr>
            </w:r>
            <w:r>
              <w:rPr>
                <w:b w:val="0"/>
                <w:sz w:val="18"/>
              </w:rPr>
              <w:t>Geschikt voor clubdagen, sponsoracties en bedrijventeams.</w:t>
            </w:r>
          </w:p>
        </w:tc>
      </w:tr>
      <w:tr>
        <w:tc>
          <w:tcPr>
            <w:tcW w:type="dxa" w:w="3249"/>
            <w:vAlign w:val="center"/>
          </w:tcPr>
          <w:p>
            <w:r>
              <w:rPr>
                <w:sz w:val="17"/>
              </w:rPr>
            </w:r>
            <w:r>
              <w:rPr>
                <w:b w:val="0"/>
                <w:sz w:val="18"/>
              </w:rPr>
              <w:t>Digitalisering</w:t>
            </w:r>
          </w:p>
        </w:tc>
        <w:tc>
          <w:tcPr>
            <w:tcW w:type="dxa" w:w="3249"/>
            <w:vAlign w:val="center"/>
          </w:tcPr>
          <w:p>
            <w:r>
              <w:rPr>
                <w:sz w:val="17"/>
              </w:rPr>
            </w:r>
            <w:r>
              <w:rPr>
                <w:b w:val="0"/>
                <w:sz w:val="18"/>
              </w:rPr>
              <w:t>QR-codes, apps en social media maken sport laagdrempelig en deelbaar.</w:t>
            </w:r>
          </w:p>
        </w:tc>
        <w:tc>
          <w:tcPr>
            <w:tcW w:type="dxa" w:w="3249"/>
            <w:vAlign w:val="center"/>
          </w:tcPr>
          <w:p>
            <w:r>
              <w:rPr>
                <w:sz w:val="17"/>
              </w:rPr>
            </w:r>
            <w:r>
              <w:rPr>
                <w:b w:val="0"/>
                <w:sz w:val="18"/>
              </w:rPr>
              <w:t>Uitleg, niveaus, tijdregistratie en challenges zijn eenvoudig toe te voegen.</w:t>
            </w:r>
          </w:p>
        </w:tc>
      </w:tr>
    </w:tbl>
    <w:p>
      <w:pPr>
        <w:pStyle w:val="Heading1"/>
      </w:pPr>
      <w:r>
        <w:t>4. Vergelijkende beoordeling van mogelijke richtingen</w:t>
      </w:r>
    </w:p>
    <w:p>
      <w:r>
        <w:t>Omdat jij de HYROX-invulling al hebt uitgewerkt, is onderstaande matrix vooral bedoeld als onderbouwing van de keuze. De score loopt van 1 = laag tot 5 = hoog.</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757"/>
            <w:vAlign w:val="center"/>
            <w:shd w:fill="D9EAD3"/>
          </w:tcPr>
          <w:p>
            <w:pPr>
              <w:spacing w:after="0"/>
            </w:pPr>
            <w:r>
              <w:rPr>
                <w:sz w:val="16"/>
              </w:rPr>
              <w:t>Invulling</w:t>
            </w:r>
          </w:p>
        </w:tc>
        <w:tc>
          <w:tcPr>
            <w:tcW w:type="dxa" w:w="765"/>
            <w:vAlign w:val="center"/>
            <w:shd w:fill="D9EAD3"/>
          </w:tcPr>
          <w:p>
            <w:pPr>
              <w:spacing w:after="0"/>
            </w:pPr>
            <w:r>
              <w:rPr>
                <w:sz w:val="16"/>
              </w:rPr>
              <w:t>Trend</w:t>
            </w:r>
          </w:p>
        </w:tc>
        <w:tc>
          <w:tcPr>
            <w:tcW w:type="dxa" w:w="765"/>
            <w:vAlign w:val="center"/>
            <w:shd w:fill="D9EAD3"/>
          </w:tcPr>
          <w:p>
            <w:pPr>
              <w:spacing w:after="0"/>
            </w:pPr>
            <w:r>
              <w:rPr>
                <w:sz w:val="16"/>
              </w:rPr>
              <w:t>Sport</w:t>
            </w:r>
          </w:p>
        </w:tc>
        <w:tc>
          <w:tcPr>
            <w:tcW w:type="dxa" w:w="878"/>
            <w:vAlign w:val="center"/>
            <w:shd w:fill="D9EAD3"/>
          </w:tcPr>
          <w:p>
            <w:pPr>
              <w:spacing w:after="0"/>
            </w:pPr>
            <w:r>
              <w:rPr>
                <w:sz w:val="16"/>
              </w:rPr>
              <w:t>Maatsch.</w:t>
            </w:r>
          </w:p>
        </w:tc>
        <w:tc>
          <w:tcPr>
            <w:tcW w:type="dxa" w:w="765"/>
            <w:vAlign w:val="center"/>
            <w:shd w:fill="D9EAD3"/>
          </w:tcPr>
          <w:p>
            <w:pPr>
              <w:spacing w:after="0"/>
            </w:pPr>
            <w:r>
              <w:rPr>
                <w:sz w:val="16"/>
              </w:rPr>
              <w:t>Event</w:t>
            </w:r>
          </w:p>
        </w:tc>
        <w:tc>
          <w:tcPr>
            <w:tcW w:type="dxa" w:w="1020"/>
            <w:vAlign w:val="center"/>
            <w:shd w:fill="D9EAD3"/>
          </w:tcPr>
          <w:p>
            <w:pPr>
              <w:spacing w:after="0"/>
            </w:pPr>
            <w:r>
              <w:rPr>
                <w:sz w:val="16"/>
              </w:rPr>
              <w:t>Zichtb. NMHC</w:t>
            </w:r>
          </w:p>
        </w:tc>
        <w:tc>
          <w:tcPr>
            <w:tcW w:type="dxa" w:w="623"/>
            <w:vAlign w:val="center"/>
            <w:shd w:fill="D9EAD3"/>
          </w:tcPr>
          <w:p>
            <w:pPr>
              <w:spacing w:after="0"/>
            </w:pPr>
            <w:r>
              <w:rPr>
                <w:sz w:val="16"/>
              </w:rPr>
              <w:t>Totaal</w:t>
            </w:r>
          </w:p>
        </w:tc>
      </w:tr>
      <w:tr>
        <w:tc>
          <w:tcPr>
            <w:tcW w:type="dxa" w:w="1757"/>
            <w:vAlign w:val="center"/>
          </w:tcPr>
          <w:p>
            <w:pPr>
              <w:spacing w:after="0"/>
            </w:pPr>
            <w:r>
              <w:rPr>
                <w:sz w:val="16"/>
              </w:rPr>
            </w:r>
            <w:r>
              <w:rPr>
                <w:b w:val="0"/>
                <w:sz w:val="16"/>
              </w:rPr>
              <w:t>Wandelroute</w:t>
            </w:r>
          </w:p>
        </w:tc>
        <w:tc>
          <w:tcPr>
            <w:tcW w:type="dxa" w:w="765"/>
            <w:vAlign w:val="center"/>
          </w:tcPr>
          <w:p>
            <w:pPr>
              <w:spacing w:after="0"/>
            </w:pPr>
            <w:r>
              <w:rPr>
                <w:sz w:val="16"/>
              </w:rPr>
            </w:r>
            <w:r>
              <w:rPr>
                <w:b w:val="0"/>
                <w:sz w:val="16"/>
              </w:rPr>
              <w:t>4</w:t>
            </w:r>
          </w:p>
        </w:tc>
        <w:tc>
          <w:tcPr>
            <w:tcW w:type="dxa" w:w="765"/>
            <w:vAlign w:val="center"/>
          </w:tcPr>
          <w:p>
            <w:pPr>
              <w:spacing w:after="0"/>
            </w:pPr>
            <w:r>
              <w:rPr>
                <w:sz w:val="16"/>
              </w:rPr>
            </w:r>
            <w:r>
              <w:rPr>
                <w:b w:val="0"/>
                <w:sz w:val="16"/>
              </w:rPr>
              <w:t>2</w:t>
            </w:r>
          </w:p>
        </w:tc>
        <w:tc>
          <w:tcPr>
            <w:tcW w:type="dxa" w:w="878"/>
            <w:vAlign w:val="center"/>
          </w:tcPr>
          <w:p>
            <w:pPr>
              <w:spacing w:after="0"/>
            </w:pPr>
            <w:r>
              <w:rPr>
                <w:sz w:val="16"/>
              </w:rPr>
            </w:r>
            <w:r>
              <w:rPr>
                <w:b w:val="0"/>
                <w:sz w:val="16"/>
              </w:rPr>
              <w:t>5</w:t>
            </w:r>
          </w:p>
        </w:tc>
        <w:tc>
          <w:tcPr>
            <w:tcW w:type="dxa" w:w="765"/>
            <w:vAlign w:val="center"/>
          </w:tcPr>
          <w:p>
            <w:pPr>
              <w:spacing w:after="0"/>
            </w:pPr>
            <w:r>
              <w:rPr>
                <w:sz w:val="16"/>
              </w:rPr>
            </w:r>
            <w:r>
              <w:rPr>
                <w:b w:val="0"/>
                <w:sz w:val="16"/>
              </w:rPr>
              <w:t>2</w:t>
            </w:r>
          </w:p>
        </w:tc>
        <w:tc>
          <w:tcPr>
            <w:tcW w:type="dxa" w:w="1020"/>
            <w:vAlign w:val="center"/>
          </w:tcPr>
          <w:p>
            <w:pPr>
              <w:spacing w:after="0"/>
            </w:pPr>
            <w:r>
              <w:rPr>
                <w:sz w:val="16"/>
              </w:rPr>
            </w:r>
            <w:r>
              <w:rPr>
                <w:b w:val="0"/>
                <w:sz w:val="16"/>
              </w:rPr>
              <w:t>2</w:t>
            </w:r>
          </w:p>
        </w:tc>
        <w:tc>
          <w:tcPr>
            <w:tcW w:type="dxa" w:w="623"/>
            <w:vAlign w:val="center"/>
          </w:tcPr>
          <w:p>
            <w:pPr>
              <w:spacing w:after="0"/>
            </w:pPr>
            <w:r>
              <w:rPr>
                <w:sz w:val="16"/>
              </w:rPr>
            </w:r>
            <w:r>
              <w:rPr>
                <w:b w:val="0"/>
                <w:sz w:val="16"/>
              </w:rPr>
              <w:t>15</w:t>
            </w:r>
          </w:p>
        </w:tc>
      </w:tr>
      <w:tr>
        <w:tc>
          <w:tcPr>
            <w:tcW w:type="dxa" w:w="1757"/>
            <w:vAlign w:val="center"/>
          </w:tcPr>
          <w:p>
            <w:r>
              <w:rPr>
                <w:sz w:val="16"/>
              </w:rPr>
              <w:t>Hardloop-route</w:t>
            </w:r>
          </w:p>
        </w:tc>
        <w:tc>
          <w:tcPr>
            <w:tcW w:type="dxa" w:w="765"/>
            <w:vAlign w:val="center"/>
          </w:tcPr>
          <w:p>
            <w:pPr>
              <w:spacing w:after="0"/>
            </w:pPr>
            <w:r>
              <w:rPr>
                <w:sz w:val="16"/>
              </w:rPr>
            </w:r>
            <w:r>
              <w:rPr>
                <w:b w:val="0"/>
                <w:sz w:val="16"/>
              </w:rPr>
              <w:t>4</w:t>
            </w:r>
          </w:p>
        </w:tc>
        <w:tc>
          <w:tcPr>
            <w:tcW w:type="dxa" w:w="765"/>
            <w:vAlign w:val="center"/>
          </w:tcPr>
          <w:p>
            <w:pPr>
              <w:spacing w:after="0"/>
            </w:pPr>
            <w:r>
              <w:rPr>
                <w:sz w:val="16"/>
              </w:rPr>
            </w:r>
            <w:r>
              <w:rPr>
                <w:b w:val="0"/>
                <w:sz w:val="16"/>
              </w:rPr>
              <w:t>4</w:t>
            </w:r>
          </w:p>
        </w:tc>
        <w:tc>
          <w:tcPr>
            <w:tcW w:type="dxa" w:w="878"/>
            <w:vAlign w:val="center"/>
          </w:tcPr>
          <w:p>
            <w:pPr>
              <w:spacing w:after="0"/>
            </w:pPr>
            <w:r>
              <w:rPr>
                <w:sz w:val="16"/>
              </w:rPr>
            </w:r>
            <w:r>
              <w:rPr>
                <w:b w:val="0"/>
                <w:sz w:val="16"/>
              </w:rPr>
              <w:t>3</w:t>
            </w:r>
          </w:p>
        </w:tc>
        <w:tc>
          <w:tcPr>
            <w:tcW w:type="dxa" w:w="765"/>
            <w:vAlign w:val="center"/>
          </w:tcPr>
          <w:p>
            <w:pPr>
              <w:spacing w:after="0"/>
            </w:pPr>
            <w:r>
              <w:rPr>
                <w:sz w:val="16"/>
              </w:rPr>
            </w:r>
            <w:r>
              <w:rPr>
                <w:b w:val="0"/>
                <w:sz w:val="16"/>
              </w:rPr>
              <w:t>3</w:t>
            </w:r>
          </w:p>
        </w:tc>
        <w:tc>
          <w:tcPr>
            <w:tcW w:type="dxa" w:w="1020"/>
            <w:vAlign w:val="center"/>
          </w:tcPr>
          <w:p>
            <w:pPr>
              <w:spacing w:after="0"/>
            </w:pPr>
            <w:r>
              <w:rPr>
                <w:sz w:val="16"/>
              </w:rPr>
            </w:r>
            <w:r>
              <w:rPr>
                <w:b w:val="0"/>
                <w:sz w:val="16"/>
              </w:rPr>
              <w:t>3</w:t>
            </w:r>
          </w:p>
        </w:tc>
        <w:tc>
          <w:tcPr>
            <w:tcW w:type="dxa" w:w="623"/>
            <w:vAlign w:val="center"/>
          </w:tcPr>
          <w:p>
            <w:pPr>
              <w:spacing w:after="0"/>
            </w:pPr>
            <w:r>
              <w:rPr>
                <w:sz w:val="16"/>
              </w:rPr>
            </w:r>
            <w:r>
              <w:rPr>
                <w:b w:val="0"/>
                <w:sz w:val="16"/>
              </w:rPr>
              <w:t>17</w:t>
            </w:r>
          </w:p>
        </w:tc>
      </w:tr>
      <w:tr>
        <w:tc>
          <w:tcPr>
            <w:tcW w:type="dxa" w:w="1757"/>
            <w:vAlign w:val="center"/>
          </w:tcPr>
          <w:p>
            <w:pPr>
              <w:spacing w:after="0"/>
            </w:pPr>
            <w:r>
              <w:rPr>
                <w:sz w:val="16"/>
              </w:rPr>
            </w:r>
            <w:r>
              <w:rPr>
                <w:b w:val="0"/>
                <w:sz w:val="16"/>
              </w:rPr>
              <w:t>Outdoor fitness</w:t>
            </w:r>
          </w:p>
        </w:tc>
        <w:tc>
          <w:tcPr>
            <w:tcW w:type="dxa" w:w="765"/>
            <w:vAlign w:val="center"/>
          </w:tcPr>
          <w:p>
            <w:pPr>
              <w:spacing w:after="0"/>
            </w:pPr>
            <w:r>
              <w:rPr>
                <w:sz w:val="16"/>
              </w:rPr>
            </w:r>
            <w:r>
              <w:rPr>
                <w:b w:val="0"/>
                <w:sz w:val="16"/>
              </w:rPr>
              <w:t>4</w:t>
            </w:r>
          </w:p>
        </w:tc>
        <w:tc>
          <w:tcPr>
            <w:tcW w:type="dxa" w:w="765"/>
            <w:vAlign w:val="center"/>
          </w:tcPr>
          <w:p>
            <w:pPr>
              <w:spacing w:after="0"/>
            </w:pPr>
            <w:r>
              <w:rPr>
                <w:sz w:val="16"/>
              </w:rPr>
            </w:r>
            <w:r>
              <w:rPr>
                <w:b w:val="0"/>
                <w:sz w:val="16"/>
              </w:rPr>
              <w:t>4</w:t>
            </w:r>
          </w:p>
        </w:tc>
        <w:tc>
          <w:tcPr>
            <w:tcW w:type="dxa" w:w="878"/>
            <w:vAlign w:val="center"/>
          </w:tcPr>
          <w:p>
            <w:pPr>
              <w:spacing w:after="0"/>
            </w:pPr>
            <w:r>
              <w:rPr>
                <w:sz w:val="16"/>
              </w:rPr>
            </w:r>
            <w:r>
              <w:rPr>
                <w:b w:val="0"/>
                <w:sz w:val="16"/>
              </w:rPr>
              <w:t>3</w:t>
            </w:r>
          </w:p>
        </w:tc>
        <w:tc>
          <w:tcPr>
            <w:tcW w:type="dxa" w:w="765"/>
            <w:vAlign w:val="center"/>
          </w:tcPr>
          <w:p>
            <w:pPr>
              <w:spacing w:after="0"/>
            </w:pPr>
            <w:r>
              <w:rPr>
                <w:sz w:val="16"/>
              </w:rPr>
            </w:r>
            <w:r>
              <w:rPr>
                <w:b w:val="0"/>
                <w:sz w:val="16"/>
              </w:rPr>
              <w:t>3</w:t>
            </w:r>
          </w:p>
        </w:tc>
        <w:tc>
          <w:tcPr>
            <w:tcW w:type="dxa" w:w="1020"/>
            <w:vAlign w:val="center"/>
          </w:tcPr>
          <w:p>
            <w:pPr>
              <w:spacing w:after="0"/>
            </w:pPr>
            <w:r>
              <w:rPr>
                <w:sz w:val="16"/>
              </w:rPr>
            </w:r>
            <w:r>
              <w:rPr>
                <w:b w:val="0"/>
                <w:sz w:val="16"/>
              </w:rPr>
              <w:t>3</w:t>
            </w:r>
          </w:p>
        </w:tc>
        <w:tc>
          <w:tcPr>
            <w:tcW w:type="dxa" w:w="623"/>
            <w:vAlign w:val="center"/>
          </w:tcPr>
          <w:p>
            <w:pPr>
              <w:spacing w:after="0"/>
            </w:pPr>
            <w:r>
              <w:rPr>
                <w:sz w:val="16"/>
              </w:rPr>
            </w:r>
            <w:r>
              <w:rPr>
                <w:b w:val="0"/>
                <w:sz w:val="16"/>
              </w:rPr>
              <w:t>17</w:t>
            </w:r>
          </w:p>
        </w:tc>
      </w:tr>
      <w:tr>
        <w:tc>
          <w:tcPr>
            <w:tcW w:type="dxa" w:w="1757"/>
            <w:vAlign w:val="center"/>
          </w:tcPr>
          <w:p>
            <w:pPr>
              <w:spacing w:after="0"/>
            </w:pPr>
            <w:r>
              <w:rPr>
                <w:sz w:val="16"/>
              </w:rPr>
            </w:r>
            <w:r>
              <w:rPr>
                <w:b w:val="0"/>
                <w:sz w:val="16"/>
              </w:rPr>
              <w:t>Calisthenics</w:t>
            </w:r>
          </w:p>
        </w:tc>
        <w:tc>
          <w:tcPr>
            <w:tcW w:type="dxa" w:w="765"/>
            <w:vAlign w:val="center"/>
          </w:tcPr>
          <w:p>
            <w:pPr>
              <w:spacing w:after="0"/>
            </w:pPr>
            <w:r>
              <w:rPr>
                <w:sz w:val="16"/>
              </w:rPr>
            </w:r>
            <w:r>
              <w:rPr>
                <w:b w:val="0"/>
                <w:sz w:val="16"/>
              </w:rPr>
              <w:t>4</w:t>
            </w:r>
          </w:p>
        </w:tc>
        <w:tc>
          <w:tcPr>
            <w:tcW w:type="dxa" w:w="765"/>
            <w:vAlign w:val="center"/>
          </w:tcPr>
          <w:p>
            <w:pPr>
              <w:spacing w:after="0"/>
            </w:pPr>
            <w:r>
              <w:rPr>
                <w:sz w:val="16"/>
              </w:rPr>
            </w:r>
            <w:r>
              <w:rPr>
                <w:b w:val="0"/>
                <w:sz w:val="16"/>
              </w:rPr>
              <w:t>4</w:t>
            </w:r>
          </w:p>
        </w:tc>
        <w:tc>
          <w:tcPr>
            <w:tcW w:type="dxa" w:w="878"/>
            <w:vAlign w:val="center"/>
          </w:tcPr>
          <w:p>
            <w:pPr>
              <w:spacing w:after="0"/>
            </w:pPr>
            <w:r>
              <w:rPr>
                <w:sz w:val="16"/>
              </w:rPr>
            </w:r>
            <w:r>
              <w:rPr>
                <w:b w:val="0"/>
                <w:sz w:val="16"/>
              </w:rPr>
              <w:t>2</w:t>
            </w:r>
          </w:p>
        </w:tc>
        <w:tc>
          <w:tcPr>
            <w:tcW w:type="dxa" w:w="765"/>
            <w:vAlign w:val="center"/>
          </w:tcPr>
          <w:p>
            <w:pPr>
              <w:spacing w:after="0"/>
            </w:pPr>
            <w:r>
              <w:rPr>
                <w:sz w:val="16"/>
              </w:rPr>
            </w:r>
            <w:r>
              <w:rPr>
                <w:b w:val="0"/>
                <w:sz w:val="16"/>
              </w:rPr>
              <w:t>3</w:t>
            </w:r>
          </w:p>
        </w:tc>
        <w:tc>
          <w:tcPr>
            <w:tcW w:type="dxa" w:w="1020"/>
            <w:vAlign w:val="center"/>
          </w:tcPr>
          <w:p>
            <w:pPr>
              <w:spacing w:after="0"/>
            </w:pPr>
            <w:r>
              <w:rPr>
                <w:sz w:val="16"/>
              </w:rPr>
            </w:r>
            <w:r>
              <w:rPr>
                <w:b w:val="0"/>
                <w:sz w:val="16"/>
              </w:rPr>
              <w:t>3</w:t>
            </w:r>
          </w:p>
        </w:tc>
        <w:tc>
          <w:tcPr>
            <w:tcW w:type="dxa" w:w="623"/>
            <w:vAlign w:val="center"/>
          </w:tcPr>
          <w:p>
            <w:pPr>
              <w:spacing w:after="0"/>
            </w:pPr>
            <w:r>
              <w:rPr>
                <w:sz w:val="16"/>
              </w:rPr>
            </w:r>
            <w:r>
              <w:rPr>
                <w:b w:val="0"/>
                <w:sz w:val="16"/>
              </w:rPr>
              <w:t>16</w:t>
            </w:r>
          </w:p>
        </w:tc>
      </w:tr>
      <w:tr>
        <w:tc>
          <w:tcPr>
            <w:tcW w:type="dxa" w:w="1757"/>
            <w:vAlign w:val="center"/>
          </w:tcPr>
          <w:p>
            <w:r>
              <w:rPr>
                <w:sz w:val="16"/>
              </w:rPr>
              <w:t>Senior fit</w:t>
            </w:r>
          </w:p>
        </w:tc>
        <w:tc>
          <w:tcPr>
            <w:tcW w:type="dxa" w:w="765"/>
            <w:vAlign w:val="center"/>
          </w:tcPr>
          <w:p>
            <w:pPr>
              <w:spacing w:after="0"/>
            </w:pPr>
            <w:r>
              <w:rPr>
                <w:sz w:val="16"/>
              </w:rPr>
            </w:r>
            <w:r>
              <w:rPr>
                <w:b w:val="0"/>
                <w:sz w:val="16"/>
              </w:rPr>
              <w:t>3</w:t>
            </w:r>
          </w:p>
        </w:tc>
        <w:tc>
          <w:tcPr>
            <w:tcW w:type="dxa" w:w="765"/>
            <w:vAlign w:val="center"/>
          </w:tcPr>
          <w:p>
            <w:pPr>
              <w:spacing w:after="0"/>
            </w:pPr>
            <w:r>
              <w:rPr>
                <w:sz w:val="16"/>
              </w:rPr>
            </w:r>
            <w:r>
              <w:rPr>
                <w:b w:val="0"/>
                <w:sz w:val="16"/>
              </w:rPr>
              <w:t>2</w:t>
            </w:r>
          </w:p>
        </w:tc>
        <w:tc>
          <w:tcPr>
            <w:tcW w:type="dxa" w:w="878"/>
            <w:vAlign w:val="center"/>
          </w:tcPr>
          <w:p>
            <w:pPr>
              <w:spacing w:after="0"/>
            </w:pPr>
            <w:r>
              <w:rPr>
                <w:sz w:val="16"/>
              </w:rPr>
            </w:r>
            <w:r>
              <w:rPr>
                <w:b w:val="0"/>
                <w:sz w:val="16"/>
              </w:rPr>
              <w:t>5</w:t>
            </w:r>
          </w:p>
        </w:tc>
        <w:tc>
          <w:tcPr>
            <w:tcW w:type="dxa" w:w="765"/>
            <w:vAlign w:val="center"/>
          </w:tcPr>
          <w:p>
            <w:pPr>
              <w:spacing w:after="0"/>
            </w:pPr>
            <w:r>
              <w:rPr>
                <w:sz w:val="16"/>
              </w:rPr>
            </w:r>
            <w:r>
              <w:rPr>
                <w:b w:val="0"/>
                <w:sz w:val="16"/>
              </w:rPr>
              <w:t>2</w:t>
            </w:r>
          </w:p>
        </w:tc>
        <w:tc>
          <w:tcPr>
            <w:tcW w:type="dxa" w:w="1020"/>
            <w:vAlign w:val="center"/>
          </w:tcPr>
          <w:p>
            <w:pPr>
              <w:spacing w:after="0"/>
            </w:pPr>
            <w:r>
              <w:rPr>
                <w:sz w:val="16"/>
              </w:rPr>
            </w:r>
            <w:r>
              <w:rPr>
                <w:b w:val="0"/>
                <w:sz w:val="16"/>
              </w:rPr>
              <w:t>2</w:t>
            </w:r>
          </w:p>
        </w:tc>
        <w:tc>
          <w:tcPr>
            <w:tcW w:type="dxa" w:w="623"/>
            <w:vAlign w:val="center"/>
          </w:tcPr>
          <w:p>
            <w:pPr>
              <w:spacing w:after="0"/>
            </w:pPr>
            <w:r>
              <w:rPr>
                <w:sz w:val="16"/>
              </w:rPr>
            </w:r>
            <w:r>
              <w:rPr>
                <w:b w:val="0"/>
                <w:sz w:val="16"/>
              </w:rPr>
              <w:t>14</w:t>
            </w:r>
          </w:p>
        </w:tc>
      </w:tr>
      <w:tr>
        <w:tc>
          <w:tcPr>
            <w:tcW w:type="dxa" w:w="1757"/>
            <w:vAlign w:val="center"/>
          </w:tcPr>
          <w:p>
            <w:r>
              <w:rPr>
                <w:sz w:val="16"/>
              </w:rPr>
              <w:t>Recovery</w:t>
            </w:r>
          </w:p>
        </w:tc>
        <w:tc>
          <w:tcPr>
            <w:tcW w:type="dxa" w:w="765"/>
            <w:vAlign w:val="center"/>
          </w:tcPr>
          <w:p>
            <w:pPr>
              <w:spacing w:after="0"/>
            </w:pPr>
            <w:r>
              <w:rPr>
                <w:sz w:val="16"/>
              </w:rPr>
            </w:r>
            <w:r>
              <w:rPr>
                <w:b w:val="0"/>
                <w:sz w:val="16"/>
              </w:rPr>
              <w:t>3</w:t>
            </w:r>
          </w:p>
        </w:tc>
        <w:tc>
          <w:tcPr>
            <w:tcW w:type="dxa" w:w="765"/>
            <w:vAlign w:val="center"/>
          </w:tcPr>
          <w:p>
            <w:pPr>
              <w:spacing w:after="0"/>
            </w:pPr>
            <w:r>
              <w:rPr>
                <w:sz w:val="16"/>
              </w:rPr>
            </w:r>
            <w:r>
              <w:rPr>
                <w:b w:val="0"/>
                <w:sz w:val="16"/>
              </w:rPr>
              <w:t>2</w:t>
            </w:r>
          </w:p>
        </w:tc>
        <w:tc>
          <w:tcPr>
            <w:tcW w:type="dxa" w:w="878"/>
            <w:vAlign w:val="center"/>
          </w:tcPr>
          <w:p>
            <w:pPr>
              <w:spacing w:after="0"/>
            </w:pPr>
            <w:r>
              <w:rPr>
                <w:sz w:val="16"/>
              </w:rPr>
            </w:r>
            <w:r>
              <w:rPr>
                <w:b w:val="0"/>
                <w:sz w:val="16"/>
              </w:rPr>
              <w:t>4</w:t>
            </w:r>
          </w:p>
        </w:tc>
        <w:tc>
          <w:tcPr>
            <w:tcW w:type="dxa" w:w="765"/>
            <w:vAlign w:val="center"/>
          </w:tcPr>
          <w:p>
            <w:pPr>
              <w:spacing w:after="0"/>
            </w:pPr>
            <w:r>
              <w:rPr>
                <w:sz w:val="16"/>
              </w:rPr>
            </w:r>
            <w:r>
              <w:rPr>
                <w:b w:val="0"/>
                <w:sz w:val="16"/>
              </w:rPr>
              <w:t>2</w:t>
            </w:r>
          </w:p>
        </w:tc>
        <w:tc>
          <w:tcPr>
            <w:tcW w:type="dxa" w:w="1020"/>
            <w:vAlign w:val="center"/>
          </w:tcPr>
          <w:p>
            <w:pPr>
              <w:spacing w:after="0"/>
            </w:pPr>
            <w:r>
              <w:rPr>
                <w:sz w:val="16"/>
              </w:rPr>
            </w:r>
            <w:r>
              <w:rPr>
                <w:b w:val="0"/>
                <w:sz w:val="16"/>
              </w:rPr>
              <w:t>2</w:t>
            </w:r>
          </w:p>
        </w:tc>
        <w:tc>
          <w:tcPr>
            <w:tcW w:type="dxa" w:w="623"/>
            <w:vAlign w:val="center"/>
          </w:tcPr>
          <w:p>
            <w:pPr>
              <w:spacing w:after="0"/>
            </w:pPr>
            <w:r>
              <w:rPr>
                <w:sz w:val="16"/>
              </w:rPr>
            </w:r>
            <w:r>
              <w:rPr>
                <w:b w:val="0"/>
                <w:sz w:val="16"/>
              </w:rPr>
              <w:t>13</w:t>
            </w:r>
          </w:p>
        </w:tc>
      </w:tr>
      <w:tr>
        <w:tc>
          <w:tcPr>
            <w:tcW w:type="dxa" w:w="1757"/>
            <w:vAlign w:val="center"/>
          </w:tcPr>
          <w:p>
            <w:r>
              <w:rPr>
                <w:sz w:val="16"/>
              </w:rPr>
              <w:t>Events</w:t>
            </w:r>
          </w:p>
        </w:tc>
        <w:tc>
          <w:tcPr>
            <w:tcW w:type="dxa" w:w="765"/>
            <w:vAlign w:val="center"/>
          </w:tcPr>
          <w:p>
            <w:pPr>
              <w:spacing w:after="0"/>
            </w:pPr>
            <w:r>
              <w:rPr>
                <w:sz w:val="16"/>
              </w:rPr>
            </w:r>
            <w:r>
              <w:rPr>
                <w:b w:val="0"/>
                <w:sz w:val="16"/>
              </w:rPr>
              <w:t>4</w:t>
            </w:r>
          </w:p>
        </w:tc>
        <w:tc>
          <w:tcPr>
            <w:tcW w:type="dxa" w:w="765"/>
            <w:vAlign w:val="center"/>
          </w:tcPr>
          <w:p>
            <w:pPr>
              <w:spacing w:after="0"/>
            </w:pPr>
            <w:r>
              <w:rPr>
                <w:sz w:val="16"/>
              </w:rPr>
            </w:r>
            <w:r>
              <w:rPr>
                <w:b w:val="0"/>
                <w:sz w:val="16"/>
              </w:rPr>
              <w:t>3</w:t>
            </w:r>
          </w:p>
        </w:tc>
        <w:tc>
          <w:tcPr>
            <w:tcW w:type="dxa" w:w="878"/>
            <w:vAlign w:val="center"/>
          </w:tcPr>
          <w:p>
            <w:pPr>
              <w:spacing w:after="0"/>
            </w:pPr>
            <w:r>
              <w:rPr>
                <w:sz w:val="16"/>
              </w:rPr>
            </w:r>
            <w:r>
              <w:rPr>
                <w:b w:val="0"/>
                <w:sz w:val="16"/>
              </w:rPr>
              <w:t>4</w:t>
            </w:r>
          </w:p>
        </w:tc>
        <w:tc>
          <w:tcPr>
            <w:tcW w:type="dxa" w:w="765"/>
            <w:vAlign w:val="center"/>
          </w:tcPr>
          <w:p>
            <w:pPr>
              <w:spacing w:after="0"/>
            </w:pPr>
            <w:r>
              <w:rPr>
                <w:sz w:val="16"/>
              </w:rPr>
            </w:r>
            <w:r>
              <w:rPr>
                <w:b w:val="0"/>
                <w:sz w:val="16"/>
              </w:rPr>
              <w:t>5</w:t>
            </w:r>
          </w:p>
        </w:tc>
        <w:tc>
          <w:tcPr>
            <w:tcW w:type="dxa" w:w="1020"/>
            <w:vAlign w:val="center"/>
          </w:tcPr>
          <w:p>
            <w:pPr>
              <w:spacing w:after="0"/>
            </w:pPr>
            <w:r>
              <w:rPr>
                <w:sz w:val="16"/>
              </w:rPr>
            </w:r>
            <w:r>
              <w:rPr>
                <w:b w:val="0"/>
                <w:sz w:val="16"/>
              </w:rPr>
              <w:t>4</w:t>
            </w:r>
          </w:p>
        </w:tc>
        <w:tc>
          <w:tcPr>
            <w:tcW w:type="dxa" w:w="623"/>
            <w:vAlign w:val="center"/>
          </w:tcPr>
          <w:p>
            <w:pPr>
              <w:spacing w:after="0"/>
            </w:pPr>
            <w:r>
              <w:rPr>
                <w:sz w:val="16"/>
              </w:rPr>
            </w:r>
            <w:r>
              <w:rPr>
                <w:b w:val="0"/>
                <w:sz w:val="16"/>
              </w:rPr>
              <w:t>20</w:t>
            </w:r>
          </w:p>
        </w:tc>
      </w:tr>
      <w:tr>
        <w:tc>
          <w:tcPr>
            <w:tcW w:type="dxa" w:w="1757"/>
            <w:vAlign w:val="center"/>
          </w:tcPr>
          <w:p>
            <w:r>
              <w:rPr>
                <w:sz w:val="16"/>
              </w:rPr>
              <w:t>HYROX-route</w:t>
            </w:r>
          </w:p>
        </w:tc>
        <w:tc>
          <w:tcPr>
            <w:tcW w:type="dxa" w:w="765"/>
            <w:vAlign w:val="center"/>
          </w:tcPr>
          <w:p>
            <w:pPr>
              <w:spacing w:after="0"/>
            </w:pPr>
            <w:r>
              <w:rPr>
                <w:sz w:val="16"/>
              </w:rPr>
            </w:r>
            <w:r>
              <w:rPr>
                <w:b w:val="0"/>
                <w:sz w:val="16"/>
              </w:rPr>
              <w:t>5</w:t>
            </w:r>
          </w:p>
        </w:tc>
        <w:tc>
          <w:tcPr>
            <w:tcW w:type="dxa" w:w="765"/>
            <w:vAlign w:val="center"/>
          </w:tcPr>
          <w:p>
            <w:pPr>
              <w:spacing w:after="0"/>
            </w:pPr>
            <w:r>
              <w:rPr>
                <w:sz w:val="16"/>
              </w:rPr>
            </w:r>
            <w:r>
              <w:rPr>
                <w:b w:val="0"/>
                <w:sz w:val="16"/>
              </w:rPr>
              <w:t>5</w:t>
            </w:r>
          </w:p>
        </w:tc>
        <w:tc>
          <w:tcPr>
            <w:tcW w:type="dxa" w:w="878"/>
            <w:vAlign w:val="center"/>
          </w:tcPr>
          <w:p>
            <w:pPr>
              <w:spacing w:after="0"/>
            </w:pPr>
            <w:r>
              <w:rPr>
                <w:sz w:val="16"/>
              </w:rPr>
            </w:r>
            <w:r>
              <w:rPr>
                <w:b w:val="0"/>
                <w:sz w:val="16"/>
              </w:rPr>
              <w:t>4</w:t>
            </w:r>
          </w:p>
        </w:tc>
        <w:tc>
          <w:tcPr>
            <w:tcW w:type="dxa" w:w="765"/>
            <w:vAlign w:val="center"/>
          </w:tcPr>
          <w:p>
            <w:pPr>
              <w:spacing w:after="0"/>
            </w:pPr>
            <w:r>
              <w:rPr>
                <w:sz w:val="16"/>
              </w:rPr>
            </w:r>
            <w:r>
              <w:rPr>
                <w:b w:val="0"/>
                <w:sz w:val="16"/>
              </w:rPr>
              <w:t>5</w:t>
            </w:r>
          </w:p>
        </w:tc>
        <w:tc>
          <w:tcPr>
            <w:tcW w:type="dxa" w:w="1020"/>
            <w:vAlign w:val="center"/>
          </w:tcPr>
          <w:p>
            <w:pPr>
              <w:spacing w:after="0"/>
            </w:pPr>
            <w:r>
              <w:rPr>
                <w:sz w:val="16"/>
              </w:rPr>
            </w:r>
            <w:r>
              <w:rPr>
                <w:b w:val="0"/>
                <w:sz w:val="16"/>
              </w:rPr>
              <w:t>5</w:t>
            </w:r>
          </w:p>
        </w:tc>
        <w:tc>
          <w:tcPr>
            <w:tcW w:type="dxa" w:w="623"/>
            <w:vAlign w:val="center"/>
          </w:tcPr>
          <w:p>
            <w:pPr>
              <w:spacing w:after="0"/>
            </w:pPr>
            <w:r>
              <w:rPr>
                <w:sz w:val="16"/>
              </w:rPr>
            </w:r>
            <w:r>
              <w:rPr>
                <w:b w:val="0"/>
                <w:sz w:val="16"/>
              </w:rPr>
              <w:t>24</w:t>
            </w:r>
          </w:p>
        </w:tc>
      </w:tr>
    </w:tbl>
    <w:p>
      <w:r>
        <w:t>De HYROX-geinspireerde route scoort het hoogst omdat deze meerdere trends tegelijk combineert: hardlopen, functionele fitness, hybride training, outdoor bewegen, challenge-cultuur, digitalisering en communityvorming. Een gewone wandelroute of hardlooproute is laagdrempelig, maar minder onderscheidend. Een losse outdoor fitnessplek heeft sportieve waarde, maar minder eventwaarde. De kracht van het HYROX-geinspireerde concept zit in de combinatie van route, stations, meetbaarheid en groepsgebruik.</w:t>
      </w:r>
    </w:p>
    <w:p>
      <w:pPr>
        <w:pStyle w:val="Heading1"/>
      </w:pPr>
      <w:r>
        <w:t>5. Onderbouwing van de keuze voor HYROX-geinspireerd</w:t>
      </w:r>
    </w:p>
    <w:p>
      <w:pPr>
        <w:pStyle w:val="Heading2"/>
      </w:pPr>
      <w:r>
        <w:t>5.1 Het concept past bij de ontwikkeling van hybride sport</w:t>
      </w:r>
    </w:p>
    <w:p>
      <w:r>
        <w:t>HYROX-geinspireerd trainen sluit direct aan bij hybride sport: een mix van conditie, kracht en functionele oefeningen. Dit is aantrekkelijk omdat het een completer gevoel van fitheid geeft dan alleen hardlopen of alleen krachttraining.</w:t>
      </w:r>
    </w:p>
    <w:p>
      <w:pPr>
        <w:pStyle w:val="Heading2"/>
      </w:pPr>
      <w:r>
        <w:t>5.2 Het concept past bij hockey en NMHC</w:t>
      </w:r>
    </w:p>
    <w:p>
      <w:r>
        <w:t>Hockey vraagt om snelheid, uithoudingsvermogen, wendbaarheid, stabiliteit, explosiviteit en teamwork. Een route met functionele stations kan gebruikt worden als aanvullende training voor teams, zonder dat het bestaande hockeyaanbod vervangen hoeft te worden.</w:t>
      </w:r>
    </w:p>
    <w:p>
      <w:pPr>
        <w:pStyle w:val="Heading2"/>
      </w:pPr>
      <w:r>
        <w:t>5.3 Het concept is herkenbaar en activeert mensen</w:t>
      </w:r>
    </w:p>
    <w:p>
      <w:r>
        <w:t>Een Blue Zone kan breed en abstract blijven als er geen duidelijke sportieve trekker is. Een HYROX-geinspireerde route maakt de Green Blue Zone concreet: mensen zien waar ze kunnen starten, welke oefeningen ze kunnen doen en hoe ze zichzelf kunnen uitdagen.</w:t>
      </w:r>
    </w:p>
    <w:p>
      <w:pPr>
        <w:pStyle w:val="Heading2"/>
      </w:pPr>
      <w:r>
        <w:t>5.4 Het concept is schaalbaar naar meerdere doelgroepen</w:t>
      </w:r>
    </w:p>
    <w:p>
      <w:r>
        <w:t>Het concept hoeft niet alleen zwaar of prestatiegericht te zijn. Door niveaus te maken, kan dezelfde route gebruikt worden door jeugd, hockeyteams, studenten, recreanten, omwonenden en bedrijven. Voor beginners kan de nadruk liggen op bewegen en plezier, voor sportieve gebruikers op tijd en prestatie.</w:t>
      </w:r>
    </w:p>
    <w:p>
      <w:pPr>
        <w:pStyle w:val="Heading2"/>
      </w:pPr>
      <w:r>
        <w:t>5.5 Het concept biedt kansen voor partners en evenementen</w:t>
      </w:r>
    </w:p>
    <w:p>
      <w:r>
        <w:t>De route kan worden ingezet voor sponsorloops, vitaliteitsprogramma's, bedrijventeams en open dagen. Dat maakt het concept interessant voor partners op het gebied van sport, gezondheid, fysiotherapie, onderwijs en lokale ondernemers.</w:t>
      </w:r>
    </w:p>
    <w:p>
      <w:pPr>
        <w:pStyle w:val="Heading1"/>
      </w:pPr>
      <w:r>
        <w:t>6. Korte conclusie</w:t>
      </w:r>
    </w:p>
    <w:p>
      <w:r>
        <w:t>De trends laten zien dat een HYROX-geinspireerd beweegconcept goed past bij de ontwikkeling van sport en gezondheid. Mensen zoeken flexibele sportvormen, maar willen ook verbinding, uitdaging en meetbaarheid. Daarnaast groeit de aandacht voor functionele fitness, hybride training, bewegen in de buitenruimte en preventieve gezondheid.</w:t>
      </w:r>
    </w:p>
    <w:p>
      <w:r>
        <w:t>Voor NMHC Nijmegen is dit concept kansrijk omdat het aansluit bij hockeyprestaties, teamtraining en clubgevoel, maar ook breder inzetbaar is voor omwonenden, studenten, recreanten en bedrijven. Daarmee geeft het de Green Blue Zone een duidelijke sportieve identiteit. De aanbeveling is om de HYROX-geinspireerde route te positioneren als eigen functional fitness route of challenge hub, dus niet als officieel HYROX-evenement, en te starten met een pilot om gebruik, draagvlak en haalbaarheid te testen.</w:t>
      </w:r>
    </w:p>
    <w:p>
      <w:pPr>
        <w:pStyle w:val="Heading1"/>
      </w:pPr>
      <w:r>
        <w:t>7. Bronnenlijst</w:t>
      </w:r>
    </w:p>
    <w:p>
      <w:pPr>
        <w:ind w:left="425" w:hanging="425"/>
      </w:pPr>
      <w:r>
        <w:t>American College of Sports Medicine. (2024). Worldwide survey of fitness trends for 2025. ACSM's Health &amp; Fitness Journal.</w:t>
      </w:r>
    </w:p>
    <w:p>
      <w:pPr>
        <w:ind w:left="425" w:hanging="425"/>
      </w:pPr>
      <w:r>
        <w:t>Gezondheidsraad. (2017). Beweegrichtlijnen 2017. Gezondheidsraad.</w:t>
      </w:r>
    </w:p>
    <w:p>
      <w:pPr>
        <w:ind w:left="425" w:hanging="425"/>
      </w:pPr>
      <w:r>
        <w:t>HYROX. (z.d.). The fitness race. Geraadpleegd op 3 juni 2026, van https://hyrox.com</w:t>
      </w:r>
    </w:p>
    <w:p>
      <w:pPr>
        <w:ind w:left="425" w:hanging="425"/>
      </w:pPr>
      <w:r>
        <w:t>Kenniscentrum Sport &amp; Bewegen. (z.d.). Beweegvriendelijke omgeving. Geraadpleegd op 3 juni 2026, van https://www.kenniscentrumsportenbewegen.nl</w:t>
      </w:r>
    </w:p>
    <w:p>
      <w:pPr>
        <w:ind w:left="425" w:hanging="425"/>
      </w:pPr>
      <w:r>
        <w:t>RIVM. (2026). Bewegen. Leefstijlmonitor. Geraadpleegd op 3 juni 2026, van https://www.rivm.nl/leefstijlmonitor/bewegen</w:t>
      </w:r>
    </w:p>
    <w:p>
      <w:pPr>
        <w:ind w:left="425" w:hanging="425"/>
      </w:pPr>
      <w:r>
        <w:t>World Health Organization. (2020). WHO guidelines on physical activity and sedentary behaviour. World Health Organization.</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Trendanalyse HYROX-geinspireerd concept - NMHC Nijmegen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F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C965659572BE24EAEAD0BA407121833" ma:contentTypeVersion="13" ma:contentTypeDescription="Een nieuw document maken." ma:contentTypeScope="" ma:versionID="5d79232063ed7908b9b1a0e96bea3ec0">
  <xsd:schema xmlns:xsd="http://www.w3.org/2001/XMLSchema" xmlns:xs="http://www.w3.org/2001/XMLSchema" xmlns:p="http://schemas.microsoft.com/office/2006/metadata/properties" xmlns:ns2="d4e6e985-c3ce-4bb2-8c9f-4901eff27bc8" xmlns:ns3="f0117d2c-95ea-4508-896a-e2aadaa72323" targetNamespace="http://schemas.microsoft.com/office/2006/metadata/properties" ma:root="true" ma:fieldsID="2ebf28c141b339bba7597c9bc183df80" ns2:_="" ns3:_="">
    <xsd:import namespace="d4e6e985-c3ce-4bb2-8c9f-4901eff27bc8"/>
    <xsd:import namespace="f0117d2c-95ea-4508-896a-e2aadaa723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e6e985-c3ce-4bb2-8c9f-4901eff27b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Afbeeldingtags" ma:readOnly="false" ma:fieldId="{5cf76f15-5ced-4ddc-b409-7134ff3c332f}" ma:taxonomyMulti="true" ma:sspId="f6aa0a0a-ab1b-4084-9454-0fab0472597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0117d2c-95ea-4508-896a-e2aadaa7232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ece9989-2db4-48d0-9b40-20a06a4e2ab9}" ma:internalName="TaxCatchAll" ma:showField="CatchAllData" ma:web="f0117d2c-95ea-4508-896a-e2aadaa723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4e6e985-c3ce-4bb2-8c9f-4901eff27bc8">
      <Terms xmlns="http://schemas.microsoft.com/office/infopath/2007/PartnerControls"/>
    </lcf76f155ced4ddcb4097134ff3c332f>
    <TaxCatchAll xmlns="f0117d2c-95ea-4508-896a-e2aadaa7232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79D4759-5430-4F66-8B0F-0A5D4EE1B3C2}"/>
</file>

<file path=customXml/itemProps3.xml><?xml version="1.0" encoding="utf-8"?>
<ds:datastoreItem xmlns:ds="http://schemas.openxmlformats.org/officeDocument/2006/customXml" ds:itemID="{7811335B-3342-4265-88EB-FA14B6778AEB}"/>
</file>

<file path=customXml/itemProps4.xml><?xml version="1.0" encoding="utf-8"?>
<ds:datastoreItem xmlns:ds="http://schemas.openxmlformats.org/officeDocument/2006/customXml" ds:itemID="{1AA7F298-DFA3-4479-9341-E53748E467B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0x0101003C965659572BE24EAEAD0BA407121833</vt:lpwstr>
  </property>
</Properties>
</file>