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D62"/>
          <w:sz w:val="44"/>
        </w:rPr>
        <w:t>BOCA JUNIORS</w:t>
      </w:r>
    </w:p>
    <w:p>
      <w:pPr>
        <w:jc w:val="center"/>
      </w:pPr>
      <w:r>
        <w:rPr>
          <w:i/>
          <w:sz w:val="26"/>
        </w:rPr>
        <w:t>Análisis de Rebotes Ofensivos y Puntos de Segunda Oportunidad</w:t>
      </w:r>
    </w:p>
    <w:p>
      <w:pPr>
        <w:jc w:val="center"/>
      </w:pPr>
      <w:r>
        <w:rPr>
          <w:color w:val="808080"/>
          <w:sz w:val="20"/>
        </w:rPr>
        <w:t>Liga Nacional Argentina 2025-26  |  14/04/2026</w:t>
      </w:r>
    </w:p>
    <w:p/>
    <w:p>
      <w:r>
        <w:rPr>
          <w:b/>
          <w:color w:val="002D62"/>
          <w:sz w:val="18"/>
        </w:rPr>
        <w:t xml:space="preserve">Nota sobre SC (Segunda Chance / Segunda Oportunidad):  </w:t>
      </w:r>
      <w:r>
        <w:rPr>
          <w:i/>
          <w:sz w:val="18"/>
        </w:rPr>
        <w:t>Se denomina "SC" a toda posesión que comienza inmediatamente después de que Boca captura un rebote ofensivo. La posesión de segunda oportunidad finaliza cuando: (a) Boca convierte un tiro de 2 o 3 puntos, (b) el rival obtiene un rebote defensivo, o (c) Boca pierde el balón. Los tiros libres dentro de esa posesión también se suman al cómputo de puntos. La métrica PPP (Puntos Por Posesión) refleja la eficiencia de conversión en esas posesiones.</w:t>
      </w:r>
    </w:p>
    <w:p/>
    <w:p>
      <w:r>
        <w:rPr>
          <w:b/>
          <w:sz w:val="18"/>
        </w:rPr>
        <w:t xml:space="preserve">Columnas de la tabla:  </w:t>
      </w:r>
      <w:r>
        <w:rPr>
          <w:sz w:val="17"/>
        </w:rPr>
        <w:br/>
        <w:t xml:space="preserve">  • OREB Total: Total de rebotes ofensivos capturados por Boca (fuente: box score).</w:t>
        <w:br/>
        <w:t xml:space="preserve">  • OREB/G: Promedio de rebotes ofensivos por partido.</w:t>
        <w:br/>
        <w:t xml:space="preserve">  • OREB%: OREB_Boca ÷ (OREB_Boca + DREB_Rival) × 100. Porcentaje de rebotes ofensivos disponibles que captura Boca.</w:t>
        <w:br/>
        <w:t xml:space="preserve">  • SC Opport.: Cantidad de posesiones de segunda oportunidad generadas (= número de OREB en PBP).</w:t>
        <w:br/>
        <w:t xml:space="preserve">  • SC Opp/G: Posesiones de segunda oportunidad por partido.</w:t>
        <w:br/>
        <w:t xml:space="preserve">  • SC Pts Total: Puntos totales convertidos en posesiones de SC.</w:t>
        <w:br/>
        <w:t xml:space="preserve">  • SC Pts/G: Puntos de segunda oportunidad por partido.</w:t>
        <w:br/>
        <w:t xml:space="preserve">  • PPP: Puntos por posesión de SC (SC Pts Total ÷ SC Opport.).</w:t>
      </w:r>
    </w:p>
    <w:p/>
    <w:p>
      <w:pPr>
        <w:jc w:val="left"/>
      </w:pPr>
      <w:r>
        <w:rPr>
          <w:b/>
          <w:color w:val="002D62"/>
          <w:sz w:val="26"/>
        </w:rPr>
        <w:t>Pre-Casalanguida  (22 partidos)</w:t>
      </w:r>
    </w:p>
    <w:p>
      <w:r>
        <w:rPr>
          <w:i/>
          <w:sz w:val="18"/>
        </w:rPr>
        <w:t>Período anterior al cambio de cuerpo técnico (antes del 02/02/2026)</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2016"/>
            <w:shd w:val="clear" w:color="auto" w:fill="002D62"/>
          </w:tcPr>
          <w:p>
            <w:pPr>
              <w:jc w:val="center"/>
            </w:pPr>
            <w:r>
              <w:rPr>
                <w:b/>
                <w:color w:val="F5C518"/>
                <w:sz w:val="16"/>
              </w:rPr>
              <w:t>Escenario</w:t>
            </w:r>
          </w:p>
        </w:tc>
        <w:tc>
          <w:tcPr>
            <w:tcW w:type="dxa" w:w="720"/>
            <w:shd w:val="clear" w:color="auto" w:fill="002D62"/>
          </w:tcPr>
          <w:p>
            <w:pPr>
              <w:jc w:val="center"/>
            </w:pPr>
            <w:r>
              <w:rPr>
                <w:b/>
                <w:color w:val="F5C518"/>
                <w:sz w:val="16"/>
              </w:rPr>
              <w:t>PJ</w:t>
            </w:r>
          </w:p>
        </w:tc>
        <w:tc>
          <w:tcPr>
            <w:tcW w:type="dxa" w:w="1224"/>
            <w:shd w:val="clear" w:color="auto" w:fill="002D62"/>
          </w:tcPr>
          <w:p>
            <w:pPr>
              <w:jc w:val="center"/>
            </w:pPr>
            <w:r>
              <w:rPr>
                <w:b/>
                <w:color w:val="F5C518"/>
                <w:sz w:val="16"/>
              </w:rPr>
              <w:t>OREB</w:t>
              <w:br/>
              <w:t>Total</w:t>
            </w:r>
          </w:p>
        </w:tc>
        <w:tc>
          <w:tcPr>
            <w:tcW w:type="dxa" w:w="1008"/>
            <w:shd w:val="clear" w:color="auto" w:fill="002D62"/>
          </w:tcPr>
          <w:p>
            <w:pPr>
              <w:jc w:val="center"/>
            </w:pPr>
            <w:r>
              <w:rPr>
                <w:b/>
                <w:color w:val="F5C518"/>
                <w:sz w:val="16"/>
              </w:rPr>
              <w:t>OREB/G</w:t>
            </w:r>
          </w:p>
        </w:tc>
        <w:tc>
          <w:tcPr>
            <w:tcW w:type="dxa" w:w="1008"/>
            <w:shd w:val="clear" w:color="auto" w:fill="002D62"/>
          </w:tcPr>
          <w:p>
            <w:pPr>
              <w:jc w:val="center"/>
            </w:pPr>
            <w:r>
              <w:rPr>
                <w:b/>
                <w:color w:val="F5C518"/>
                <w:sz w:val="16"/>
              </w:rPr>
              <w:t>OREB%</w:t>
            </w:r>
          </w:p>
        </w:tc>
        <w:tc>
          <w:tcPr>
            <w:tcW w:type="dxa" w:w="1152"/>
            <w:shd w:val="clear" w:color="auto" w:fill="002D62"/>
          </w:tcPr>
          <w:p>
            <w:pPr>
              <w:jc w:val="center"/>
            </w:pPr>
            <w:r>
              <w:rPr>
                <w:b/>
                <w:color w:val="F5C518"/>
                <w:sz w:val="16"/>
              </w:rPr>
              <w:t>SC</w:t>
              <w:br/>
              <w:t>Opport.</w:t>
            </w:r>
          </w:p>
        </w:tc>
        <w:tc>
          <w:tcPr>
            <w:tcW w:type="dxa" w:w="1008"/>
            <w:shd w:val="clear" w:color="auto" w:fill="002D62"/>
          </w:tcPr>
          <w:p>
            <w:pPr>
              <w:jc w:val="center"/>
            </w:pPr>
            <w:r>
              <w:rPr>
                <w:b/>
                <w:color w:val="F5C518"/>
                <w:sz w:val="16"/>
              </w:rPr>
              <w:t>SC</w:t>
              <w:br/>
              <w:t>Opp/G</w:t>
            </w:r>
          </w:p>
        </w:tc>
        <w:tc>
          <w:tcPr>
            <w:tcW w:type="dxa" w:w="1224"/>
            <w:shd w:val="clear" w:color="auto" w:fill="002D62"/>
          </w:tcPr>
          <w:p>
            <w:pPr>
              <w:jc w:val="center"/>
            </w:pPr>
            <w:r>
              <w:rPr>
                <w:b/>
                <w:color w:val="F5C518"/>
                <w:sz w:val="16"/>
              </w:rPr>
              <w:t>SC Pts</w:t>
              <w:br/>
              <w:t>Total</w:t>
            </w:r>
          </w:p>
        </w:tc>
        <w:tc>
          <w:tcPr>
            <w:tcW w:type="dxa" w:w="1080"/>
            <w:shd w:val="clear" w:color="auto" w:fill="002D62"/>
          </w:tcPr>
          <w:p>
            <w:pPr>
              <w:jc w:val="center"/>
            </w:pPr>
            <w:r>
              <w:rPr>
                <w:b/>
                <w:color w:val="F5C518"/>
                <w:sz w:val="16"/>
              </w:rPr>
              <w:t>SC Pts/G</w:t>
            </w:r>
          </w:p>
        </w:tc>
        <w:tc>
          <w:tcPr>
            <w:tcW w:type="dxa" w:w="936"/>
            <w:shd w:val="clear" w:color="auto" w:fill="002D62"/>
          </w:tcPr>
          <w:p>
            <w:pPr>
              <w:jc w:val="center"/>
            </w:pPr>
            <w:r>
              <w:rPr>
                <w:b/>
                <w:color w:val="F5C518"/>
                <w:sz w:val="16"/>
              </w:rPr>
              <w:t>PPP</w:t>
            </w:r>
          </w:p>
        </w:tc>
      </w:tr>
      <w:tr>
        <w:tc>
          <w:tcPr>
            <w:tcW w:type="dxa" w:w="2016"/>
            <w:shd w:val="clear" w:color="auto" w:fill="E8F5E9"/>
          </w:tcPr>
          <w:p>
            <w:r>
              <w:rPr>
                <w:b/>
                <w:color w:val="1A1A1A"/>
                <w:sz w:val="18"/>
              </w:rPr>
              <w:t>Victoria</w:t>
            </w:r>
          </w:p>
        </w:tc>
        <w:tc>
          <w:tcPr>
            <w:tcW w:type="dxa" w:w="720"/>
            <w:shd w:val="clear" w:color="auto" w:fill="E8F5E9"/>
          </w:tcPr>
          <w:p>
            <w:pPr>
              <w:jc w:val="center"/>
            </w:pPr>
            <w:r>
              <w:rPr>
                <w:b w:val="0"/>
                <w:color w:val="1A1A1A"/>
                <w:sz w:val="18"/>
              </w:rPr>
              <w:t>10</w:t>
            </w:r>
          </w:p>
        </w:tc>
        <w:tc>
          <w:tcPr>
            <w:tcW w:type="dxa" w:w="1224"/>
            <w:shd w:val="clear" w:color="auto" w:fill="E8F5E9"/>
          </w:tcPr>
          <w:p>
            <w:pPr>
              <w:jc w:val="center"/>
            </w:pPr>
            <w:r>
              <w:rPr>
                <w:b w:val="0"/>
                <w:color w:val="1A1A1A"/>
                <w:sz w:val="18"/>
              </w:rPr>
              <w:t>114</w:t>
            </w:r>
          </w:p>
        </w:tc>
        <w:tc>
          <w:tcPr>
            <w:tcW w:type="dxa" w:w="1008"/>
            <w:shd w:val="clear" w:color="auto" w:fill="E8F5E9"/>
          </w:tcPr>
          <w:p>
            <w:pPr>
              <w:jc w:val="center"/>
            </w:pPr>
            <w:r>
              <w:rPr>
                <w:b/>
                <w:color w:val="1A1A1A"/>
                <w:sz w:val="18"/>
              </w:rPr>
              <w:t>11.4</w:t>
            </w:r>
          </w:p>
        </w:tc>
        <w:tc>
          <w:tcPr>
            <w:tcW w:type="dxa" w:w="1008"/>
            <w:shd w:val="clear" w:color="auto" w:fill="E8F5E9"/>
          </w:tcPr>
          <w:p>
            <w:pPr>
              <w:jc w:val="center"/>
            </w:pPr>
            <w:r>
              <w:rPr>
                <w:b/>
                <w:color w:val="1A1A1A"/>
                <w:sz w:val="18"/>
              </w:rPr>
              <w:t>35.1%</w:t>
            </w:r>
          </w:p>
        </w:tc>
        <w:tc>
          <w:tcPr>
            <w:tcW w:type="dxa" w:w="1152"/>
            <w:shd w:val="clear" w:color="auto" w:fill="E8F5E9"/>
          </w:tcPr>
          <w:p>
            <w:pPr>
              <w:jc w:val="center"/>
            </w:pPr>
            <w:r>
              <w:rPr>
                <w:b w:val="0"/>
                <w:color w:val="1A1A1A"/>
                <w:sz w:val="18"/>
              </w:rPr>
              <w:t>114</w:t>
            </w:r>
          </w:p>
        </w:tc>
        <w:tc>
          <w:tcPr>
            <w:tcW w:type="dxa" w:w="1008"/>
            <w:shd w:val="clear" w:color="auto" w:fill="E8F5E9"/>
          </w:tcPr>
          <w:p>
            <w:pPr>
              <w:jc w:val="center"/>
            </w:pPr>
            <w:r>
              <w:rPr>
                <w:b w:val="0"/>
                <w:color w:val="1A1A1A"/>
                <w:sz w:val="18"/>
              </w:rPr>
              <w:t>11.4</w:t>
            </w:r>
          </w:p>
        </w:tc>
        <w:tc>
          <w:tcPr>
            <w:tcW w:type="dxa" w:w="1224"/>
            <w:shd w:val="clear" w:color="auto" w:fill="E8F5E9"/>
          </w:tcPr>
          <w:p>
            <w:pPr>
              <w:jc w:val="center"/>
            </w:pPr>
            <w:r>
              <w:rPr>
                <w:b w:val="0"/>
                <w:color w:val="1A1A1A"/>
                <w:sz w:val="18"/>
              </w:rPr>
              <w:t>159</w:t>
            </w:r>
          </w:p>
        </w:tc>
        <w:tc>
          <w:tcPr>
            <w:tcW w:type="dxa" w:w="1080"/>
            <w:shd w:val="clear" w:color="auto" w:fill="E8F5E9"/>
          </w:tcPr>
          <w:p>
            <w:pPr>
              <w:jc w:val="center"/>
            </w:pPr>
            <w:r>
              <w:rPr>
                <w:b/>
                <w:color w:val="1A1A1A"/>
                <w:sz w:val="18"/>
              </w:rPr>
              <w:t>15.9</w:t>
            </w:r>
          </w:p>
        </w:tc>
        <w:tc>
          <w:tcPr>
            <w:tcW w:type="dxa" w:w="936"/>
            <w:shd w:val="clear" w:color="auto" w:fill="E8F5E9"/>
          </w:tcPr>
          <w:p>
            <w:pPr>
              <w:jc w:val="center"/>
            </w:pPr>
            <w:r>
              <w:rPr>
                <w:b/>
                <w:color w:val="1A1A1A"/>
                <w:sz w:val="18"/>
              </w:rPr>
              <w:t>1.395</w:t>
            </w:r>
          </w:p>
        </w:tc>
      </w:tr>
      <w:tr>
        <w:tc>
          <w:tcPr>
            <w:tcW w:type="dxa" w:w="2016"/>
            <w:shd w:val="clear" w:color="auto" w:fill="FFEBEE"/>
          </w:tcPr>
          <w:p>
            <w:r>
              <w:rPr>
                <w:b/>
                <w:color w:val="1A1A1A"/>
                <w:sz w:val="18"/>
              </w:rPr>
              <w:t>Derrota</w:t>
            </w:r>
          </w:p>
        </w:tc>
        <w:tc>
          <w:tcPr>
            <w:tcW w:type="dxa" w:w="720"/>
            <w:shd w:val="clear" w:color="auto" w:fill="FFEBEE"/>
          </w:tcPr>
          <w:p>
            <w:pPr>
              <w:jc w:val="center"/>
            </w:pPr>
            <w:r>
              <w:rPr>
                <w:b w:val="0"/>
                <w:color w:val="1A1A1A"/>
                <w:sz w:val="18"/>
              </w:rPr>
              <w:t>12</w:t>
            </w:r>
          </w:p>
        </w:tc>
        <w:tc>
          <w:tcPr>
            <w:tcW w:type="dxa" w:w="1224"/>
            <w:shd w:val="clear" w:color="auto" w:fill="FFEBEE"/>
          </w:tcPr>
          <w:p>
            <w:pPr>
              <w:jc w:val="center"/>
            </w:pPr>
            <w:r>
              <w:rPr>
                <w:b w:val="0"/>
                <w:color w:val="1A1A1A"/>
                <w:sz w:val="18"/>
              </w:rPr>
              <w:t>119</w:t>
            </w:r>
          </w:p>
        </w:tc>
        <w:tc>
          <w:tcPr>
            <w:tcW w:type="dxa" w:w="1008"/>
            <w:shd w:val="clear" w:color="auto" w:fill="FFEBEE"/>
          </w:tcPr>
          <w:p>
            <w:pPr>
              <w:jc w:val="center"/>
            </w:pPr>
            <w:r>
              <w:rPr>
                <w:b/>
                <w:color w:val="1A1A1A"/>
                <w:sz w:val="18"/>
              </w:rPr>
              <w:t>9.9</w:t>
            </w:r>
          </w:p>
        </w:tc>
        <w:tc>
          <w:tcPr>
            <w:tcW w:type="dxa" w:w="1008"/>
            <w:shd w:val="clear" w:color="auto" w:fill="FFEBEE"/>
          </w:tcPr>
          <w:p>
            <w:pPr>
              <w:jc w:val="center"/>
            </w:pPr>
            <w:r>
              <w:rPr>
                <w:b/>
                <w:color w:val="1A1A1A"/>
                <w:sz w:val="18"/>
              </w:rPr>
              <w:t>28.1%</w:t>
            </w:r>
          </w:p>
        </w:tc>
        <w:tc>
          <w:tcPr>
            <w:tcW w:type="dxa" w:w="1152"/>
            <w:shd w:val="clear" w:color="auto" w:fill="FFEBEE"/>
          </w:tcPr>
          <w:p>
            <w:pPr>
              <w:jc w:val="center"/>
            </w:pPr>
            <w:r>
              <w:rPr>
                <w:b w:val="0"/>
                <w:color w:val="1A1A1A"/>
                <w:sz w:val="18"/>
              </w:rPr>
              <w:t>119</w:t>
            </w:r>
          </w:p>
        </w:tc>
        <w:tc>
          <w:tcPr>
            <w:tcW w:type="dxa" w:w="1008"/>
            <w:shd w:val="clear" w:color="auto" w:fill="FFEBEE"/>
          </w:tcPr>
          <w:p>
            <w:pPr>
              <w:jc w:val="center"/>
            </w:pPr>
            <w:r>
              <w:rPr>
                <w:b w:val="0"/>
                <w:color w:val="1A1A1A"/>
                <w:sz w:val="18"/>
              </w:rPr>
              <w:t>9.9</w:t>
            </w:r>
          </w:p>
        </w:tc>
        <w:tc>
          <w:tcPr>
            <w:tcW w:type="dxa" w:w="1224"/>
            <w:shd w:val="clear" w:color="auto" w:fill="FFEBEE"/>
          </w:tcPr>
          <w:p>
            <w:pPr>
              <w:jc w:val="center"/>
            </w:pPr>
            <w:r>
              <w:rPr>
                <w:b w:val="0"/>
                <w:color w:val="1A1A1A"/>
                <w:sz w:val="18"/>
              </w:rPr>
              <w:t>176</w:t>
            </w:r>
          </w:p>
        </w:tc>
        <w:tc>
          <w:tcPr>
            <w:tcW w:type="dxa" w:w="1080"/>
            <w:shd w:val="clear" w:color="auto" w:fill="FFEBEE"/>
          </w:tcPr>
          <w:p>
            <w:pPr>
              <w:jc w:val="center"/>
            </w:pPr>
            <w:r>
              <w:rPr>
                <w:b/>
                <w:color w:val="1A1A1A"/>
                <w:sz w:val="18"/>
              </w:rPr>
              <w:t>14.7</w:t>
            </w:r>
          </w:p>
        </w:tc>
        <w:tc>
          <w:tcPr>
            <w:tcW w:type="dxa" w:w="936"/>
            <w:shd w:val="clear" w:color="auto" w:fill="FFEBEE"/>
          </w:tcPr>
          <w:p>
            <w:pPr>
              <w:jc w:val="center"/>
            </w:pPr>
            <w:r>
              <w:rPr>
                <w:b/>
                <w:color w:val="1A1A1A"/>
                <w:sz w:val="18"/>
              </w:rPr>
              <w:t>1.479</w:t>
            </w:r>
          </w:p>
        </w:tc>
      </w:tr>
      <w:tr>
        <w:tc>
          <w:tcPr>
            <w:tcW w:type="dxa" w:w="2016"/>
            <w:shd w:val="clear" w:color="auto" w:fill="37474F"/>
          </w:tcPr>
          <w:p>
            <w:r>
              <w:rPr>
                <w:b/>
                <w:color w:val="F5C518"/>
                <w:sz w:val="16"/>
              </w:rPr>
              <w:t>Δ Vic – Der</w:t>
            </w:r>
          </w:p>
        </w:tc>
        <w:tc>
          <w:tcPr>
            <w:tcW w:type="dxa" w:w="720"/>
            <w:shd w:val="clear" w:color="auto" w:fill="37474F"/>
          </w:tcPr>
          <w:p>
            <w:pPr>
              <w:jc w:val="center"/>
            </w:pPr>
            <w:r>
              <w:rPr>
                <w:b/>
                <w:color w:val="FFFFFF"/>
                <w:sz w:val="16"/>
              </w:rPr>
            </w:r>
          </w:p>
        </w:tc>
        <w:tc>
          <w:tcPr>
            <w:tcW w:type="dxa" w:w="1224"/>
            <w:shd w:val="clear" w:color="auto" w:fill="37474F"/>
          </w:tcPr>
          <w:p>
            <w:pPr>
              <w:jc w:val="center"/>
            </w:pPr>
            <w:r>
              <w:rPr>
                <w:b/>
                <w:color w:val="FFFFFF"/>
                <w:sz w:val="16"/>
              </w:rPr>
            </w:r>
          </w:p>
        </w:tc>
        <w:tc>
          <w:tcPr>
            <w:tcW w:type="dxa" w:w="1008"/>
            <w:shd w:val="clear" w:color="auto" w:fill="37474F"/>
          </w:tcPr>
          <w:p>
            <w:pPr>
              <w:jc w:val="center"/>
            </w:pPr>
            <w:r>
              <w:rPr>
                <w:b/>
                <w:color w:val="FFFFFF"/>
                <w:sz w:val="16"/>
              </w:rPr>
              <w:t>+1.5</w:t>
            </w:r>
          </w:p>
        </w:tc>
        <w:tc>
          <w:tcPr>
            <w:tcW w:type="dxa" w:w="1008"/>
            <w:shd w:val="clear" w:color="auto" w:fill="37474F"/>
          </w:tcPr>
          <w:p>
            <w:pPr>
              <w:jc w:val="center"/>
            </w:pPr>
            <w:r>
              <w:rPr>
                <w:b/>
                <w:color w:val="FFFFFF"/>
                <w:sz w:val="16"/>
              </w:rPr>
              <w:t>+7.0pp</w:t>
            </w:r>
          </w:p>
        </w:tc>
        <w:tc>
          <w:tcPr>
            <w:tcW w:type="dxa" w:w="1152"/>
            <w:shd w:val="clear" w:color="auto" w:fill="37474F"/>
          </w:tcPr>
          <w:p>
            <w:pPr>
              <w:jc w:val="center"/>
            </w:pPr>
            <w:r>
              <w:rPr>
                <w:b/>
                <w:color w:val="FFFFFF"/>
                <w:sz w:val="16"/>
              </w:rPr>
            </w:r>
          </w:p>
        </w:tc>
        <w:tc>
          <w:tcPr>
            <w:tcW w:type="dxa" w:w="1008"/>
            <w:shd w:val="clear" w:color="auto" w:fill="37474F"/>
          </w:tcPr>
          <w:p>
            <w:pPr>
              <w:jc w:val="center"/>
            </w:pPr>
            <w:r>
              <w:rPr>
                <w:b/>
                <w:color w:val="FFFFFF"/>
                <w:sz w:val="16"/>
              </w:rPr>
              <w:t>+1.5</w:t>
            </w:r>
          </w:p>
        </w:tc>
        <w:tc>
          <w:tcPr>
            <w:tcW w:type="dxa" w:w="1224"/>
            <w:shd w:val="clear" w:color="auto" w:fill="37474F"/>
          </w:tcPr>
          <w:p>
            <w:pPr>
              <w:jc w:val="center"/>
            </w:pPr>
            <w:r>
              <w:rPr>
                <w:b/>
                <w:color w:val="FFFFFF"/>
                <w:sz w:val="16"/>
              </w:rPr>
            </w:r>
          </w:p>
        </w:tc>
        <w:tc>
          <w:tcPr>
            <w:tcW w:type="dxa" w:w="1080"/>
            <w:shd w:val="clear" w:color="auto" w:fill="37474F"/>
          </w:tcPr>
          <w:p>
            <w:pPr>
              <w:jc w:val="center"/>
            </w:pPr>
            <w:r>
              <w:rPr>
                <w:b/>
                <w:color w:val="FFFFFF"/>
                <w:sz w:val="16"/>
              </w:rPr>
              <w:t>+1.2</w:t>
            </w:r>
          </w:p>
        </w:tc>
        <w:tc>
          <w:tcPr>
            <w:tcW w:type="dxa" w:w="936"/>
            <w:shd w:val="clear" w:color="auto" w:fill="37474F"/>
          </w:tcPr>
          <w:p>
            <w:pPr>
              <w:jc w:val="center"/>
            </w:pPr>
            <w:r>
              <w:rPr>
                <w:b/>
                <w:color w:val="FFFFFF"/>
                <w:sz w:val="16"/>
              </w:rPr>
              <w:t>-0.084</w:t>
            </w:r>
          </w:p>
        </w:tc>
      </w:tr>
    </w:tbl>
    <w:p/>
    <w:p>
      <w:pPr>
        <w:jc w:val="left"/>
      </w:pPr>
      <w:r>
        <w:rPr>
          <w:b/>
          <w:color w:val="002D62"/>
          <w:sz w:val="26"/>
        </w:rPr>
        <w:t>Era Casalanguida  (12 partidos)</w:t>
      </w:r>
    </w:p>
    <w:p>
      <w:r>
        <w:rPr>
          <w:i/>
          <w:sz w:val="18"/>
        </w:rPr>
        <w:t>Desde la llegada de Casalanguida (desde 10/02/2026)</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2016"/>
            <w:shd w:val="clear" w:color="auto" w:fill="002D62"/>
          </w:tcPr>
          <w:p>
            <w:pPr>
              <w:jc w:val="center"/>
            </w:pPr>
            <w:r>
              <w:rPr>
                <w:b/>
                <w:color w:val="F5C518"/>
                <w:sz w:val="16"/>
              </w:rPr>
              <w:t>Escenario</w:t>
            </w:r>
          </w:p>
        </w:tc>
        <w:tc>
          <w:tcPr>
            <w:tcW w:type="dxa" w:w="720"/>
            <w:shd w:val="clear" w:color="auto" w:fill="002D62"/>
          </w:tcPr>
          <w:p>
            <w:pPr>
              <w:jc w:val="center"/>
            </w:pPr>
            <w:r>
              <w:rPr>
                <w:b/>
                <w:color w:val="F5C518"/>
                <w:sz w:val="16"/>
              </w:rPr>
              <w:t>PJ</w:t>
            </w:r>
          </w:p>
        </w:tc>
        <w:tc>
          <w:tcPr>
            <w:tcW w:type="dxa" w:w="1224"/>
            <w:shd w:val="clear" w:color="auto" w:fill="002D62"/>
          </w:tcPr>
          <w:p>
            <w:pPr>
              <w:jc w:val="center"/>
            </w:pPr>
            <w:r>
              <w:rPr>
                <w:b/>
                <w:color w:val="F5C518"/>
                <w:sz w:val="16"/>
              </w:rPr>
              <w:t>OREB</w:t>
              <w:br/>
              <w:t>Total</w:t>
            </w:r>
          </w:p>
        </w:tc>
        <w:tc>
          <w:tcPr>
            <w:tcW w:type="dxa" w:w="1008"/>
            <w:shd w:val="clear" w:color="auto" w:fill="002D62"/>
          </w:tcPr>
          <w:p>
            <w:pPr>
              <w:jc w:val="center"/>
            </w:pPr>
            <w:r>
              <w:rPr>
                <w:b/>
                <w:color w:val="F5C518"/>
                <w:sz w:val="16"/>
              </w:rPr>
              <w:t>OREB/G</w:t>
            </w:r>
          </w:p>
        </w:tc>
        <w:tc>
          <w:tcPr>
            <w:tcW w:type="dxa" w:w="1008"/>
            <w:shd w:val="clear" w:color="auto" w:fill="002D62"/>
          </w:tcPr>
          <w:p>
            <w:pPr>
              <w:jc w:val="center"/>
            </w:pPr>
            <w:r>
              <w:rPr>
                <w:b/>
                <w:color w:val="F5C518"/>
                <w:sz w:val="16"/>
              </w:rPr>
              <w:t>OREB%</w:t>
            </w:r>
          </w:p>
        </w:tc>
        <w:tc>
          <w:tcPr>
            <w:tcW w:type="dxa" w:w="1152"/>
            <w:shd w:val="clear" w:color="auto" w:fill="002D62"/>
          </w:tcPr>
          <w:p>
            <w:pPr>
              <w:jc w:val="center"/>
            </w:pPr>
            <w:r>
              <w:rPr>
                <w:b/>
                <w:color w:val="F5C518"/>
                <w:sz w:val="16"/>
              </w:rPr>
              <w:t>SC</w:t>
              <w:br/>
              <w:t>Opport.</w:t>
            </w:r>
          </w:p>
        </w:tc>
        <w:tc>
          <w:tcPr>
            <w:tcW w:type="dxa" w:w="1008"/>
            <w:shd w:val="clear" w:color="auto" w:fill="002D62"/>
          </w:tcPr>
          <w:p>
            <w:pPr>
              <w:jc w:val="center"/>
            </w:pPr>
            <w:r>
              <w:rPr>
                <w:b/>
                <w:color w:val="F5C518"/>
                <w:sz w:val="16"/>
              </w:rPr>
              <w:t>SC</w:t>
              <w:br/>
              <w:t>Opp/G</w:t>
            </w:r>
          </w:p>
        </w:tc>
        <w:tc>
          <w:tcPr>
            <w:tcW w:type="dxa" w:w="1224"/>
            <w:shd w:val="clear" w:color="auto" w:fill="002D62"/>
          </w:tcPr>
          <w:p>
            <w:pPr>
              <w:jc w:val="center"/>
            </w:pPr>
            <w:r>
              <w:rPr>
                <w:b/>
                <w:color w:val="F5C518"/>
                <w:sz w:val="16"/>
              </w:rPr>
              <w:t>SC Pts</w:t>
              <w:br/>
              <w:t>Total</w:t>
            </w:r>
          </w:p>
        </w:tc>
        <w:tc>
          <w:tcPr>
            <w:tcW w:type="dxa" w:w="1080"/>
            <w:shd w:val="clear" w:color="auto" w:fill="002D62"/>
          </w:tcPr>
          <w:p>
            <w:pPr>
              <w:jc w:val="center"/>
            </w:pPr>
            <w:r>
              <w:rPr>
                <w:b/>
                <w:color w:val="F5C518"/>
                <w:sz w:val="16"/>
              </w:rPr>
              <w:t>SC Pts/G</w:t>
            </w:r>
          </w:p>
        </w:tc>
        <w:tc>
          <w:tcPr>
            <w:tcW w:type="dxa" w:w="936"/>
            <w:shd w:val="clear" w:color="auto" w:fill="002D62"/>
          </w:tcPr>
          <w:p>
            <w:pPr>
              <w:jc w:val="center"/>
            </w:pPr>
            <w:r>
              <w:rPr>
                <w:b/>
                <w:color w:val="F5C518"/>
                <w:sz w:val="16"/>
              </w:rPr>
              <w:t>PPP</w:t>
            </w:r>
          </w:p>
        </w:tc>
      </w:tr>
      <w:tr>
        <w:tc>
          <w:tcPr>
            <w:tcW w:type="dxa" w:w="2016"/>
            <w:shd w:val="clear" w:color="auto" w:fill="E8F5E9"/>
          </w:tcPr>
          <w:p>
            <w:r>
              <w:rPr>
                <w:b/>
                <w:color w:val="1A1A1A"/>
                <w:sz w:val="18"/>
              </w:rPr>
              <w:t>Victoria</w:t>
            </w:r>
          </w:p>
        </w:tc>
        <w:tc>
          <w:tcPr>
            <w:tcW w:type="dxa" w:w="720"/>
            <w:shd w:val="clear" w:color="auto" w:fill="E8F5E9"/>
          </w:tcPr>
          <w:p>
            <w:pPr>
              <w:jc w:val="center"/>
            </w:pPr>
            <w:r>
              <w:rPr>
                <w:b w:val="0"/>
                <w:color w:val="1A1A1A"/>
                <w:sz w:val="18"/>
              </w:rPr>
              <w:t>10</w:t>
            </w:r>
          </w:p>
        </w:tc>
        <w:tc>
          <w:tcPr>
            <w:tcW w:type="dxa" w:w="1224"/>
            <w:shd w:val="clear" w:color="auto" w:fill="E8F5E9"/>
          </w:tcPr>
          <w:p>
            <w:pPr>
              <w:jc w:val="center"/>
            </w:pPr>
            <w:r>
              <w:rPr>
                <w:b w:val="0"/>
                <w:color w:val="1A1A1A"/>
                <w:sz w:val="18"/>
              </w:rPr>
              <w:t>80</w:t>
            </w:r>
          </w:p>
        </w:tc>
        <w:tc>
          <w:tcPr>
            <w:tcW w:type="dxa" w:w="1008"/>
            <w:shd w:val="clear" w:color="auto" w:fill="E8F5E9"/>
          </w:tcPr>
          <w:p>
            <w:pPr>
              <w:jc w:val="center"/>
            </w:pPr>
            <w:r>
              <w:rPr>
                <w:b/>
                <w:color w:val="1A1A1A"/>
                <w:sz w:val="18"/>
              </w:rPr>
              <w:t>8.0</w:t>
            </w:r>
          </w:p>
        </w:tc>
        <w:tc>
          <w:tcPr>
            <w:tcW w:type="dxa" w:w="1008"/>
            <w:shd w:val="clear" w:color="auto" w:fill="E8F5E9"/>
          </w:tcPr>
          <w:p>
            <w:pPr>
              <w:jc w:val="center"/>
            </w:pPr>
            <w:r>
              <w:rPr>
                <w:b/>
                <w:color w:val="1A1A1A"/>
                <w:sz w:val="18"/>
              </w:rPr>
              <w:t>26.6%</w:t>
            </w:r>
          </w:p>
        </w:tc>
        <w:tc>
          <w:tcPr>
            <w:tcW w:type="dxa" w:w="1152"/>
            <w:shd w:val="clear" w:color="auto" w:fill="E8F5E9"/>
          </w:tcPr>
          <w:p>
            <w:pPr>
              <w:jc w:val="center"/>
            </w:pPr>
            <w:r>
              <w:rPr>
                <w:b w:val="0"/>
                <w:color w:val="1A1A1A"/>
                <w:sz w:val="18"/>
              </w:rPr>
              <w:t>80</w:t>
            </w:r>
          </w:p>
        </w:tc>
        <w:tc>
          <w:tcPr>
            <w:tcW w:type="dxa" w:w="1008"/>
            <w:shd w:val="clear" w:color="auto" w:fill="E8F5E9"/>
          </w:tcPr>
          <w:p>
            <w:pPr>
              <w:jc w:val="center"/>
            </w:pPr>
            <w:r>
              <w:rPr>
                <w:b w:val="0"/>
                <w:color w:val="1A1A1A"/>
                <w:sz w:val="18"/>
              </w:rPr>
              <w:t>8.0</w:t>
            </w:r>
          </w:p>
        </w:tc>
        <w:tc>
          <w:tcPr>
            <w:tcW w:type="dxa" w:w="1224"/>
            <w:shd w:val="clear" w:color="auto" w:fill="E8F5E9"/>
          </w:tcPr>
          <w:p>
            <w:pPr>
              <w:jc w:val="center"/>
            </w:pPr>
            <w:r>
              <w:rPr>
                <w:b w:val="0"/>
                <w:color w:val="1A1A1A"/>
                <w:sz w:val="18"/>
              </w:rPr>
              <w:t>95</w:t>
            </w:r>
          </w:p>
        </w:tc>
        <w:tc>
          <w:tcPr>
            <w:tcW w:type="dxa" w:w="1080"/>
            <w:shd w:val="clear" w:color="auto" w:fill="E8F5E9"/>
          </w:tcPr>
          <w:p>
            <w:pPr>
              <w:jc w:val="center"/>
            </w:pPr>
            <w:r>
              <w:rPr>
                <w:b/>
                <w:color w:val="1A1A1A"/>
                <w:sz w:val="18"/>
              </w:rPr>
              <w:t>9.5</w:t>
            </w:r>
          </w:p>
        </w:tc>
        <w:tc>
          <w:tcPr>
            <w:tcW w:type="dxa" w:w="936"/>
            <w:shd w:val="clear" w:color="auto" w:fill="E8F5E9"/>
          </w:tcPr>
          <w:p>
            <w:pPr>
              <w:jc w:val="center"/>
            </w:pPr>
            <w:r>
              <w:rPr>
                <w:b/>
                <w:color w:val="1A1A1A"/>
                <w:sz w:val="18"/>
              </w:rPr>
              <w:t>1.188</w:t>
            </w:r>
          </w:p>
        </w:tc>
      </w:tr>
      <w:tr>
        <w:tc>
          <w:tcPr>
            <w:tcW w:type="dxa" w:w="2016"/>
            <w:shd w:val="clear" w:color="auto" w:fill="FFEBEE"/>
          </w:tcPr>
          <w:p>
            <w:r>
              <w:rPr>
                <w:b/>
                <w:color w:val="1A1A1A"/>
                <w:sz w:val="18"/>
              </w:rPr>
              <w:t>Derrota</w:t>
            </w:r>
          </w:p>
        </w:tc>
        <w:tc>
          <w:tcPr>
            <w:tcW w:type="dxa" w:w="720"/>
            <w:shd w:val="clear" w:color="auto" w:fill="FFEBEE"/>
          </w:tcPr>
          <w:p>
            <w:pPr>
              <w:jc w:val="center"/>
            </w:pPr>
            <w:r>
              <w:rPr>
                <w:b w:val="0"/>
                <w:color w:val="1A1A1A"/>
                <w:sz w:val="18"/>
              </w:rPr>
              <w:t>2</w:t>
            </w:r>
          </w:p>
        </w:tc>
        <w:tc>
          <w:tcPr>
            <w:tcW w:type="dxa" w:w="1224"/>
            <w:shd w:val="clear" w:color="auto" w:fill="FFEBEE"/>
          </w:tcPr>
          <w:p>
            <w:pPr>
              <w:jc w:val="center"/>
            </w:pPr>
            <w:r>
              <w:rPr>
                <w:b w:val="0"/>
                <w:color w:val="1A1A1A"/>
                <w:sz w:val="18"/>
              </w:rPr>
              <w:t>21</w:t>
            </w:r>
          </w:p>
        </w:tc>
        <w:tc>
          <w:tcPr>
            <w:tcW w:type="dxa" w:w="1008"/>
            <w:shd w:val="clear" w:color="auto" w:fill="FFEBEE"/>
          </w:tcPr>
          <w:p>
            <w:pPr>
              <w:jc w:val="center"/>
            </w:pPr>
            <w:r>
              <w:rPr>
                <w:b/>
                <w:color w:val="1A1A1A"/>
                <w:sz w:val="18"/>
              </w:rPr>
              <w:t>10.5</w:t>
            </w:r>
          </w:p>
        </w:tc>
        <w:tc>
          <w:tcPr>
            <w:tcW w:type="dxa" w:w="1008"/>
            <w:shd w:val="clear" w:color="auto" w:fill="FFEBEE"/>
          </w:tcPr>
          <w:p>
            <w:pPr>
              <w:jc w:val="center"/>
            </w:pPr>
            <w:r>
              <w:rPr>
                <w:b/>
                <w:color w:val="1A1A1A"/>
                <w:sz w:val="18"/>
              </w:rPr>
              <w:t>28.0%</w:t>
            </w:r>
          </w:p>
        </w:tc>
        <w:tc>
          <w:tcPr>
            <w:tcW w:type="dxa" w:w="1152"/>
            <w:shd w:val="clear" w:color="auto" w:fill="FFEBEE"/>
          </w:tcPr>
          <w:p>
            <w:pPr>
              <w:jc w:val="center"/>
            </w:pPr>
            <w:r>
              <w:rPr>
                <w:b w:val="0"/>
                <w:color w:val="1A1A1A"/>
                <w:sz w:val="18"/>
              </w:rPr>
              <w:t>21</w:t>
            </w:r>
          </w:p>
        </w:tc>
        <w:tc>
          <w:tcPr>
            <w:tcW w:type="dxa" w:w="1008"/>
            <w:shd w:val="clear" w:color="auto" w:fill="FFEBEE"/>
          </w:tcPr>
          <w:p>
            <w:pPr>
              <w:jc w:val="center"/>
            </w:pPr>
            <w:r>
              <w:rPr>
                <w:b w:val="0"/>
                <w:color w:val="1A1A1A"/>
                <w:sz w:val="18"/>
              </w:rPr>
              <w:t>10.5</w:t>
            </w:r>
          </w:p>
        </w:tc>
        <w:tc>
          <w:tcPr>
            <w:tcW w:type="dxa" w:w="1224"/>
            <w:shd w:val="clear" w:color="auto" w:fill="FFEBEE"/>
          </w:tcPr>
          <w:p>
            <w:pPr>
              <w:jc w:val="center"/>
            </w:pPr>
            <w:r>
              <w:rPr>
                <w:b w:val="0"/>
                <w:color w:val="1A1A1A"/>
                <w:sz w:val="18"/>
              </w:rPr>
              <w:t>22</w:t>
            </w:r>
          </w:p>
        </w:tc>
        <w:tc>
          <w:tcPr>
            <w:tcW w:type="dxa" w:w="1080"/>
            <w:shd w:val="clear" w:color="auto" w:fill="FFEBEE"/>
          </w:tcPr>
          <w:p>
            <w:pPr>
              <w:jc w:val="center"/>
            </w:pPr>
            <w:r>
              <w:rPr>
                <w:b/>
                <w:color w:val="1A1A1A"/>
                <w:sz w:val="18"/>
              </w:rPr>
              <w:t>11.0</w:t>
            </w:r>
          </w:p>
        </w:tc>
        <w:tc>
          <w:tcPr>
            <w:tcW w:type="dxa" w:w="936"/>
            <w:shd w:val="clear" w:color="auto" w:fill="FFEBEE"/>
          </w:tcPr>
          <w:p>
            <w:pPr>
              <w:jc w:val="center"/>
            </w:pPr>
            <w:r>
              <w:rPr>
                <w:b/>
                <w:color w:val="1A1A1A"/>
                <w:sz w:val="18"/>
              </w:rPr>
              <w:t>1.048</w:t>
            </w:r>
          </w:p>
        </w:tc>
      </w:tr>
      <w:tr>
        <w:tc>
          <w:tcPr>
            <w:tcW w:type="dxa" w:w="2016"/>
            <w:shd w:val="clear" w:color="auto" w:fill="37474F"/>
          </w:tcPr>
          <w:p>
            <w:r>
              <w:rPr>
                <w:b/>
                <w:color w:val="F5C518"/>
                <w:sz w:val="16"/>
              </w:rPr>
              <w:t>Δ Vic – Der</w:t>
            </w:r>
          </w:p>
        </w:tc>
        <w:tc>
          <w:tcPr>
            <w:tcW w:type="dxa" w:w="720"/>
            <w:shd w:val="clear" w:color="auto" w:fill="37474F"/>
          </w:tcPr>
          <w:p>
            <w:pPr>
              <w:jc w:val="center"/>
            </w:pPr>
            <w:r>
              <w:rPr>
                <w:b/>
                <w:color w:val="FFFFFF"/>
                <w:sz w:val="16"/>
              </w:rPr>
            </w:r>
          </w:p>
        </w:tc>
        <w:tc>
          <w:tcPr>
            <w:tcW w:type="dxa" w:w="1224"/>
            <w:shd w:val="clear" w:color="auto" w:fill="37474F"/>
          </w:tcPr>
          <w:p>
            <w:pPr>
              <w:jc w:val="center"/>
            </w:pPr>
            <w:r>
              <w:rPr>
                <w:b/>
                <w:color w:val="FFFFFF"/>
                <w:sz w:val="16"/>
              </w:rPr>
            </w:r>
          </w:p>
        </w:tc>
        <w:tc>
          <w:tcPr>
            <w:tcW w:type="dxa" w:w="1008"/>
            <w:shd w:val="clear" w:color="auto" w:fill="37474F"/>
          </w:tcPr>
          <w:p>
            <w:pPr>
              <w:jc w:val="center"/>
            </w:pPr>
            <w:r>
              <w:rPr>
                <w:b/>
                <w:color w:val="FFFFFF"/>
                <w:sz w:val="16"/>
              </w:rPr>
              <w:t>-2.5</w:t>
            </w:r>
          </w:p>
        </w:tc>
        <w:tc>
          <w:tcPr>
            <w:tcW w:type="dxa" w:w="1008"/>
            <w:shd w:val="clear" w:color="auto" w:fill="37474F"/>
          </w:tcPr>
          <w:p>
            <w:pPr>
              <w:jc w:val="center"/>
            </w:pPr>
            <w:r>
              <w:rPr>
                <w:b/>
                <w:color w:val="FFFFFF"/>
                <w:sz w:val="16"/>
              </w:rPr>
              <w:t>-1.4pp</w:t>
            </w:r>
          </w:p>
        </w:tc>
        <w:tc>
          <w:tcPr>
            <w:tcW w:type="dxa" w:w="1152"/>
            <w:shd w:val="clear" w:color="auto" w:fill="37474F"/>
          </w:tcPr>
          <w:p>
            <w:pPr>
              <w:jc w:val="center"/>
            </w:pPr>
            <w:r>
              <w:rPr>
                <w:b/>
                <w:color w:val="FFFFFF"/>
                <w:sz w:val="16"/>
              </w:rPr>
            </w:r>
          </w:p>
        </w:tc>
        <w:tc>
          <w:tcPr>
            <w:tcW w:type="dxa" w:w="1008"/>
            <w:shd w:val="clear" w:color="auto" w:fill="37474F"/>
          </w:tcPr>
          <w:p>
            <w:pPr>
              <w:jc w:val="center"/>
            </w:pPr>
            <w:r>
              <w:rPr>
                <w:b/>
                <w:color w:val="FFFFFF"/>
                <w:sz w:val="16"/>
              </w:rPr>
              <w:t>-2.5</w:t>
            </w:r>
          </w:p>
        </w:tc>
        <w:tc>
          <w:tcPr>
            <w:tcW w:type="dxa" w:w="1224"/>
            <w:shd w:val="clear" w:color="auto" w:fill="37474F"/>
          </w:tcPr>
          <w:p>
            <w:pPr>
              <w:jc w:val="center"/>
            </w:pPr>
            <w:r>
              <w:rPr>
                <w:b/>
                <w:color w:val="FFFFFF"/>
                <w:sz w:val="16"/>
              </w:rPr>
            </w:r>
          </w:p>
        </w:tc>
        <w:tc>
          <w:tcPr>
            <w:tcW w:type="dxa" w:w="1080"/>
            <w:shd w:val="clear" w:color="auto" w:fill="37474F"/>
          </w:tcPr>
          <w:p>
            <w:pPr>
              <w:jc w:val="center"/>
            </w:pPr>
            <w:r>
              <w:rPr>
                <w:b/>
                <w:color w:val="FFFFFF"/>
                <w:sz w:val="16"/>
              </w:rPr>
              <w:t>-1.5</w:t>
            </w:r>
          </w:p>
        </w:tc>
        <w:tc>
          <w:tcPr>
            <w:tcW w:type="dxa" w:w="936"/>
            <w:shd w:val="clear" w:color="auto" w:fill="37474F"/>
          </w:tcPr>
          <w:p>
            <w:pPr>
              <w:jc w:val="center"/>
            </w:pPr>
            <w:r>
              <w:rPr>
                <w:b/>
                <w:color w:val="FFFFFF"/>
                <w:sz w:val="16"/>
              </w:rPr>
              <w:t>+0.140</w:t>
            </w:r>
          </w:p>
        </w:tc>
      </w:tr>
    </w:tbl>
    <w:p/>
    <w:p>
      <w:pPr>
        <w:jc w:val="left"/>
      </w:pPr>
      <w:r>
        <w:rPr>
          <w:b/>
          <w:color w:val="002D62"/>
          <w:sz w:val="26"/>
        </w:rPr>
        <w:t>Últimos 5 partidos  (5 partidos)</w:t>
      </w:r>
    </w:p>
    <w:p>
      <w:r>
        <w:rPr>
          <w:i/>
          <w:sz w:val="18"/>
        </w:rPr>
        <w:t>Los últimos 5 partidos disputados</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2016"/>
            <w:shd w:val="clear" w:color="auto" w:fill="002D62"/>
          </w:tcPr>
          <w:p>
            <w:pPr>
              <w:jc w:val="center"/>
            </w:pPr>
            <w:r>
              <w:rPr>
                <w:b/>
                <w:color w:val="F5C518"/>
                <w:sz w:val="16"/>
              </w:rPr>
              <w:t>Escenario</w:t>
            </w:r>
          </w:p>
        </w:tc>
        <w:tc>
          <w:tcPr>
            <w:tcW w:type="dxa" w:w="720"/>
            <w:shd w:val="clear" w:color="auto" w:fill="002D62"/>
          </w:tcPr>
          <w:p>
            <w:pPr>
              <w:jc w:val="center"/>
            </w:pPr>
            <w:r>
              <w:rPr>
                <w:b/>
                <w:color w:val="F5C518"/>
                <w:sz w:val="16"/>
              </w:rPr>
              <w:t>PJ</w:t>
            </w:r>
          </w:p>
        </w:tc>
        <w:tc>
          <w:tcPr>
            <w:tcW w:type="dxa" w:w="1224"/>
            <w:shd w:val="clear" w:color="auto" w:fill="002D62"/>
          </w:tcPr>
          <w:p>
            <w:pPr>
              <w:jc w:val="center"/>
            </w:pPr>
            <w:r>
              <w:rPr>
                <w:b/>
                <w:color w:val="F5C518"/>
                <w:sz w:val="16"/>
              </w:rPr>
              <w:t>OREB</w:t>
              <w:br/>
              <w:t>Total</w:t>
            </w:r>
          </w:p>
        </w:tc>
        <w:tc>
          <w:tcPr>
            <w:tcW w:type="dxa" w:w="1008"/>
            <w:shd w:val="clear" w:color="auto" w:fill="002D62"/>
          </w:tcPr>
          <w:p>
            <w:pPr>
              <w:jc w:val="center"/>
            </w:pPr>
            <w:r>
              <w:rPr>
                <w:b/>
                <w:color w:val="F5C518"/>
                <w:sz w:val="16"/>
              </w:rPr>
              <w:t>OREB/G</w:t>
            </w:r>
          </w:p>
        </w:tc>
        <w:tc>
          <w:tcPr>
            <w:tcW w:type="dxa" w:w="1008"/>
            <w:shd w:val="clear" w:color="auto" w:fill="002D62"/>
          </w:tcPr>
          <w:p>
            <w:pPr>
              <w:jc w:val="center"/>
            </w:pPr>
            <w:r>
              <w:rPr>
                <w:b/>
                <w:color w:val="F5C518"/>
                <w:sz w:val="16"/>
              </w:rPr>
              <w:t>OREB%</w:t>
            </w:r>
          </w:p>
        </w:tc>
        <w:tc>
          <w:tcPr>
            <w:tcW w:type="dxa" w:w="1152"/>
            <w:shd w:val="clear" w:color="auto" w:fill="002D62"/>
          </w:tcPr>
          <w:p>
            <w:pPr>
              <w:jc w:val="center"/>
            </w:pPr>
            <w:r>
              <w:rPr>
                <w:b/>
                <w:color w:val="F5C518"/>
                <w:sz w:val="16"/>
              </w:rPr>
              <w:t>SC</w:t>
              <w:br/>
              <w:t>Opport.</w:t>
            </w:r>
          </w:p>
        </w:tc>
        <w:tc>
          <w:tcPr>
            <w:tcW w:type="dxa" w:w="1008"/>
            <w:shd w:val="clear" w:color="auto" w:fill="002D62"/>
          </w:tcPr>
          <w:p>
            <w:pPr>
              <w:jc w:val="center"/>
            </w:pPr>
            <w:r>
              <w:rPr>
                <w:b/>
                <w:color w:val="F5C518"/>
                <w:sz w:val="16"/>
              </w:rPr>
              <w:t>SC</w:t>
              <w:br/>
              <w:t>Opp/G</w:t>
            </w:r>
          </w:p>
        </w:tc>
        <w:tc>
          <w:tcPr>
            <w:tcW w:type="dxa" w:w="1224"/>
            <w:shd w:val="clear" w:color="auto" w:fill="002D62"/>
          </w:tcPr>
          <w:p>
            <w:pPr>
              <w:jc w:val="center"/>
            </w:pPr>
            <w:r>
              <w:rPr>
                <w:b/>
                <w:color w:val="F5C518"/>
                <w:sz w:val="16"/>
              </w:rPr>
              <w:t>SC Pts</w:t>
              <w:br/>
              <w:t>Total</w:t>
            </w:r>
          </w:p>
        </w:tc>
        <w:tc>
          <w:tcPr>
            <w:tcW w:type="dxa" w:w="1080"/>
            <w:shd w:val="clear" w:color="auto" w:fill="002D62"/>
          </w:tcPr>
          <w:p>
            <w:pPr>
              <w:jc w:val="center"/>
            </w:pPr>
            <w:r>
              <w:rPr>
                <w:b/>
                <w:color w:val="F5C518"/>
                <w:sz w:val="16"/>
              </w:rPr>
              <w:t>SC Pts/G</w:t>
            </w:r>
          </w:p>
        </w:tc>
        <w:tc>
          <w:tcPr>
            <w:tcW w:type="dxa" w:w="936"/>
            <w:shd w:val="clear" w:color="auto" w:fill="002D62"/>
          </w:tcPr>
          <w:p>
            <w:pPr>
              <w:jc w:val="center"/>
            </w:pPr>
            <w:r>
              <w:rPr>
                <w:b/>
                <w:color w:val="F5C518"/>
                <w:sz w:val="16"/>
              </w:rPr>
              <w:t>PPP</w:t>
            </w:r>
          </w:p>
        </w:tc>
      </w:tr>
      <w:tr>
        <w:tc>
          <w:tcPr>
            <w:tcW w:type="dxa" w:w="2016"/>
            <w:shd w:val="clear" w:color="auto" w:fill="E8F5E9"/>
          </w:tcPr>
          <w:p>
            <w:r>
              <w:rPr>
                <w:b/>
                <w:color w:val="1A1A1A"/>
                <w:sz w:val="18"/>
              </w:rPr>
              <w:t>Victoria</w:t>
            </w:r>
          </w:p>
        </w:tc>
        <w:tc>
          <w:tcPr>
            <w:tcW w:type="dxa" w:w="720"/>
            <w:shd w:val="clear" w:color="auto" w:fill="E8F5E9"/>
          </w:tcPr>
          <w:p>
            <w:pPr>
              <w:jc w:val="center"/>
            </w:pPr>
            <w:r>
              <w:rPr>
                <w:b w:val="0"/>
                <w:color w:val="1A1A1A"/>
                <w:sz w:val="18"/>
              </w:rPr>
              <w:t>3</w:t>
            </w:r>
          </w:p>
        </w:tc>
        <w:tc>
          <w:tcPr>
            <w:tcW w:type="dxa" w:w="1224"/>
            <w:shd w:val="clear" w:color="auto" w:fill="E8F5E9"/>
          </w:tcPr>
          <w:p>
            <w:pPr>
              <w:jc w:val="center"/>
            </w:pPr>
            <w:r>
              <w:rPr>
                <w:b w:val="0"/>
                <w:color w:val="1A1A1A"/>
                <w:sz w:val="18"/>
              </w:rPr>
              <w:t>22</w:t>
            </w:r>
          </w:p>
        </w:tc>
        <w:tc>
          <w:tcPr>
            <w:tcW w:type="dxa" w:w="1008"/>
            <w:shd w:val="clear" w:color="auto" w:fill="E8F5E9"/>
          </w:tcPr>
          <w:p>
            <w:pPr>
              <w:jc w:val="center"/>
            </w:pPr>
            <w:r>
              <w:rPr>
                <w:b/>
                <w:color w:val="1A1A1A"/>
                <w:sz w:val="18"/>
              </w:rPr>
              <w:t>7.3</w:t>
            </w:r>
          </w:p>
        </w:tc>
        <w:tc>
          <w:tcPr>
            <w:tcW w:type="dxa" w:w="1008"/>
            <w:shd w:val="clear" w:color="auto" w:fill="E8F5E9"/>
          </w:tcPr>
          <w:p>
            <w:pPr>
              <w:jc w:val="center"/>
            </w:pPr>
            <w:r>
              <w:rPr>
                <w:b/>
                <w:color w:val="1A1A1A"/>
                <w:sz w:val="18"/>
              </w:rPr>
              <w:t>23.4%</w:t>
            </w:r>
          </w:p>
        </w:tc>
        <w:tc>
          <w:tcPr>
            <w:tcW w:type="dxa" w:w="1152"/>
            <w:shd w:val="clear" w:color="auto" w:fill="E8F5E9"/>
          </w:tcPr>
          <w:p>
            <w:pPr>
              <w:jc w:val="center"/>
            </w:pPr>
            <w:r>
              <w:rPr>
                <w:b w:val="0"/>
                <w:color w:val="1A1A1A"/>
                <w:sz w:val="18"/>
              </w:rPr>
              <w:t>22</w:t>
            </w:r>
          </w:p>
        </w:tc>
        <w:tc>
          <w:tcPr>
            <w:tcW w:type="dxa" w:w="1008"/>
            <w:shd w:val="clear" w:color="auto" w:fill="E8F5E9"/>
          </w:tcPr>
          <w:p>
            <w:pPr>
              <w:jc w:val="center"/>
            </w:pPr>
            <w:r>
              <w:rPr>
                <w:b w:val="0"/>
                <w:color w:val="1A1A1A"/>
                <w:sz w:val="18"/>
              </w:rPr>
              <w:t>7.3</w:t>
            </w:r>
          </w:p>
        </w:tc>
        <w:tc>
          <w:tcPr>
            <w:tcW w:type="dxa" w:w="1224"/>
            <w:shd w:val="clear" w:color="auto" w:fill="E8F5E9"/>
          </w:tcPr>
          <w:p>
            <w:pPr>
              <w:jc w:val="center"/>
            </w:pPr>
            <w:r>
              <w:rPr>
                <w:b w:val="0"/>
                <w:color w:val="1A1A1A"/>
                <w:sz w:val="18"/>
              </w:rPr>
              <w:t>18</w:t>
            </w:r>
          </w:p>
        </w:tc>
        <w:tc>
          <w:tcPr>
            <w:tcW w:type="dxa" w:w="1080"/>
            <w:shd w:val="clear" w:color="auto" w:fill="E8F5E9"/>
          </w:tcPr>
          <w:p>
            <w:pPr>
              <w:jc w:val="center"/>
            </w:pPr>
            <w:r>
              <w:rPr>
                <w:b/>
                <w:color w:val="1A1A1A"/>
                <w:sz w:val="18"/>
              </w:rPr>
              <w:t>6.0</w:t>
            </w:r>
          </w:p>
        </w:tc>
        <w:tc>
          <w:tcPr>
            <w:tcW w:type="dxa" w:w="936"/>
            <w:shd w:val="clear" w:color="auto" w:fill="E8F5E9"/>
          </w:tcPr>
          <w:p>
            <w:pPr>
              <w:jc w:val="center"/>
            </w:pPr>
            <w:r>
              <w:rPr>
                <w:b/>
                <w:color w:val="1A1A1A"/>
                <w:sz w:val="18"/>
              </w:rPr>
              <w:t>0.818</w:t>
            </w:r>
          </w:p>
        </w:tc>
      </w:tr>
      <w:tr>
        <w:tc>
          <w:tcPr>
            <w:tcW w:type="dxa" w:w="2016"/>
            <w:shd w:val="clear" w:color="auto" w:fill="FFEBEE"/>
          </w:tcPr>
          <w:p>
            <w:r>
              <w:rPr>
                <w:b/>
                <w:color w:val="1A1A1A"/>
                <w:sz w:val="18"/>
              </w:rPr>
              <w:t>Derrota</w:t>
            </w:r>
          </w:p>
        </w:tc>
        <w:tc>
          <w:tcPr>
            <w:tcW w:type="dxa" w:w="720"/>
            <w:shd w:val="clear" w:color="auto" w:fill="FFEBEE"/>
          </w:tcPr>
          <w:p>
            <w:pPr>
              <w:jc w:val="center"/>
            </w:pPr>
            <w:r>
              <w:rPr>
                <w:b w:val="0"/>
                <w:color w:val="1A1A1A"/>
                <w:sz w:val="18"/>
              </w:rPr>
              <w:t>2</w:t>
            </w:r>
          </w:p>
        </w:tc>
        <w:tc>
          <w:tcPr>
            <w:tcW w:type="dxa" w:w="1224"/>
            <w:shd w:val="clear" w:color="auto" w:fill="FFEBEE"/>
          </w:tcPr>
          <w:p>
            <w:pPr>
              <w:jc w:val="center"/>
            </w:pPr>
            <w:r>
              <w:rPr>
                <w:b w:val="0"/>
                <w:color w:val="1A1A1A"/>
                <w:sz w:val="18"/>
              </w:rPr>
              <w:t>21</w:t>
            </w:r>
          </w:p>
        </w:tc>
        <w:tc>
          <w:tcPr>
            <w:tcW w:type="dxa" w:w="1008"/>
            <w:shd w:val="clear" w:color="auto" w:fill="FFEBEE"/>
          </w:tcPr>
          <w:p>
            <w:pPr>
              <w:jc w:val="center"/>
            </w:pPr>
            <w:r>
              <w:rPr>
                <w:b/>
                <w:color w:val="1A1A1A"/>
                <w:sz w:val="18"/>
              </w:rPr>
              <w:t>10.5</w:t>
            </w:r>
          </w:p>
        </w:tc>
        <w:tc>
          <w:tcPr>
            <w:tcW w:type="dxa" w:w="1008"/>
            <w:shd w:val="clear" w:color="auto" w:fill="FFEBEE"/>
          </w:tcPr>
          <w:p>
            <w:pPr>
              <w:jc w:val="center"/>
            </w:pPr>
            <w:r>
              <w:rPr>
                <w:b/>
                <w:color w:val="1A1A1A"/>
                <w:sz w:val="18"/>
              </w:rPr>
              <w:t>28.0%</w:t>
            </w:r>
          </w:p>
        </w:tc>
        <w:tc>
          <w:tcPr>
            <w:tcW w:type="dxa" w:w="1152"/>
            <w:shd w:val="clear" w:color="auto" w:fill="FFEBEE"/>
          </w:tcPr>
          <w:p>
            <w:pPr>
              <w:jc w:val="center"/>
            </w:pPr>
            <w:r>
              <w:rPr>
                <w:b w:val="0"/>
                <w:color w:val="1A1A1A"/>
                <w:sz w:val="18"/>
              </w:rPr>
              <w:t>21</w:t>
            </w:r>
          </w:p>
        </w:tc>
        <w:tc>
          <w:tcPr>
            <w:tcW w:type="dxa" w:w="1008"/>
            <w:shd w:val="clear" w:color="auto" w:fill="FFEBEE"/>
          </w:tcPr>
          <w:p>
            <w:pPr>
              <w:jc w:val="center"/>
            </w:pPr>
            <w:r>
              <w:rPr>
                <w:b w:val="0"/>
                <w:color w:val="1A1A1A"/>
                <w:sz w:val="18"/>
              </w:rPr>
              <w:t>10.5</w:t>
            </w:r>
          </w:p>
        </w:tc>
        <w:tc>
          <w:tcPr>
            <w:tcW w:type="dxa" w:w="1224"/>
            <w:shd w:val="clear" w:color="auto" w:fill="FFEBEE"/>
          </w:tcPr>
          <w:p>
            <w:pPr>
              <w:jc w:val="center"/>
            </w:pPr>
            <w:r>
              <w:rPr>
                <w:b w:val="0"/>
                <w:color w:val="1A1A1A"/>
                <w:sz w:val="18"/>
              </w:rPr>
              <w:t>22</w:t>
            </w:r>
          </w:p>
        </w:tc>
        <w:tc>
          <w:tcPr>
            <w:tcW w:type="dxa" w:w="1080"/>
            <w:shd w:val="clear" w:color="auto" w:fill="FFEBEE"/>
          </w:tcPr>
          <w:p>
            <w:pPr>
              <w:jc w:val="center"/>
            </w:pPr>
            <w:r>
              <w:rPr>
                <w:b/>
                <w:color w:val="1A1A1A"/>
                <w:sz w:val="18"/>
              </w:rPr>
              <w:t>11.0</w:t>
            </w:r>
          </w:p>
        </w:tc>
        <w:tc>
          <w:tcPr>
            <w:tcW w:type="dxa" w:w="936"/>
            <w:shd w:val="clear" w:color="auto" w:fill="FFEBEE"/>
          </w:tcPr>
          <w:p>
            <w:pPr>
              <w:jc w:val="center"/>
            </w:pPr>
            <w:r>
              <w:rPr>
                <w:b/>
                <w:color w:val="1A1A1A"/>
                <w:sz w:val="18"/>
              </w:rPr>
              <w:t>1.048</w:t>
            </w:r>
          </w:p>
        </w:tc>
      </w:tr>
      <w:tr>
        <w:tc>
          <w:tcPr>
            <w:tcW w:type="dxa" w:w="2016"/>
            <w:shd w:val="clear" w:color="auto" w:fill="37474F"/>
          </w:tcPr>
          <w:p>
            <w:r>
              <w:rPr>
                <w:b/>
                <w:color w:val="F5C518"/>
                <w:sz w:val="16"/>
              </w:rPr>
              <w:t>Δ Vic – Der</w:t>
            </w:r>
          </w:p>
        </w:tc>
        <w:tc>
          <w:tcPr>
            <w:tcW w:type="dxa" w:w="720"/>
            <w:shd w:val="clear" w:color="auto" w:fill="37474F"/>
          </w:tcPr>
          <w:p>
            <w:pPr>
              <w:jc w:val="center"/>
            </w:pPr>
            <w:r>
              <w:rPr>
                <w:b/>
                <w:color w:val="FFFFFF"/>
                <w:sz w:val="16"/>
              </w:rPr>
            </w:r>
          </w:p>
        </w:tc>
        <w:tc>
          <w:tcPr>
            <w:tcW w:type="dxa" w:w="1224"/>
            <w:shd w:val="clear" w:color="auto" w:fill="37474F"/>
          </w:tcPr>
          <w:p>
            <w:pPr>
              <w:jc w:val="center"/>
            </w:pPr>
            <w:r>
              <w:rPr>
                <w:b/>
                <w:color w:val="FFFFFF"/>
                <w:sz w:val="16"/>
              </w:rPr>
            </w:r>
          </w:p>
        </w:tc>
        <w:tc>
          <w:tcPr>
            <w:tcW w:type="dxa" w:w="1008"/>
            <w:shd w:val="clear" w:color="auto" w:fill="37474F"/>
          </w:tcPr>
          <w:p>
            <w:pPr>
              <w:jc w:val="center"/>
            </w:pPr>
            <w:r>
              <w:rPr>
                <w:b/>
                <w:color w:val="FFFFFF"/>
                <w:sz w:val="16"/>
              </w:rPr>
              <w:t>-3.2</w:t>
            </w:r>
          </w:p>
        </w:tc>
        <w:tc>
          <w:tcPr>
            <w:tcW w:type="dxa" w:w="1008"/>
            <w:shd w:val="clear" w:color="auto" w:fill="37474F"/>
          </w:tcPr>
          <w:p>
            <w:pPr>
              <w:jc w:val="center"/>
            </w:pPr>
            <w:r>
              <w:rPr>
                <w:b/>
                <w:color w:val="FFFFFF"/>
                <w:sz w:val="16"/>
              </w:rPr>
              <w:t>-4.6pp</w:t>
            </w:r>
          </w:p>
        </w:tc>
        <w:tc>
          <w:tcPr>
            <w:tcW w:type="dxa" w:w="1152"/>
            <w:shd w:val="clear" w:color="auto" w:fill="37474F"/>
          </w:tcPr>
          <w:p>
            <w:pPr>
              <w:jc w:val="center"/>
            </w:pPr>
            <w:r>
              <w:rPr>
                <w:b/>
                <w:color w:val="FFFFFF"/>
                <w:sz w:val="16"/>
              </w:rPr>
            </w:r>
          </w:p>
        </w:tc>
        <w:tc>
          <w:tcPr>
            <w:tcW w:type="dxa" w:w="1008"/>
            <w:shd w:val="clear" w:color="auto" w:fill="37474F"/>
          </w:tcPr>
          <w:p>
            <w:pPr>
              <w:jc w:val="center"/>
            </w:pPr>
            <w:r>
              <w:rPr>
                <w:b/>
                <w:color w:val="FFFFFF"/>
                <w:sz w:val="16"/>
              </w:rPr>
              <w:t>-3.2</w:t>
            </w:r>
          </w:p>
        </w:tc>
        <w:tc>
          <w:tcPr>
            <w:tcW w:type="dxa" w:w="1224"/>
            <w:shd w:val="clear" w:color="auto" w:fill="37474F"/>
          </w:tcPr>
          <w:p>
            <w:pPr>
              <w:jc w:val="center"/>
            </w:pPr>
            <w:r>
              <w:rPr>
                <w:b/>
                <w:color w:val="FFFFFF"/>
                <w:sz w:val="16"/>
              </w:rPr>
            </w:r>
          </w:p>
        </w:tc>
        <w:tc>
          <w:tcPr>
            <w:tcW w:type="dxa" w:w="1080"/>
            <w:shd w:val="clear" w:color="auto" w:fill="37474F"/>
          </w:tcPr>
          <w:p>
            <w:pPr>
              <w:jc w:val="center"/>
            </w:pPr>
            <w:r>
              <w:rPr>
                <w:b/>
                <w:color w:val="FFFFFF"/>
                <w:sz w:val="16"/>
              </w:rPr>
              <w:t>-5.0</w:t>
            </w:r>
          </w:p>
        </w:tc>
        <w:tc>
          <w:tcPr>
            <w:tcW w:type="dxa" w:w="936"/>
            <w:shd w:val="clear" w:color="auto" w:fill="37474F"/>
          </w:tcPr>
          <w:p>
            <w:pPr>
              <w:jc w:val="center"/>
            </w:pPr>
            <w:r>
              <w:rPr>
                <w:b/>
                <w:color w:val="FFFFFF"/>
                <w:sz w:val="16"/>
              </w:rPr>
              <w:t>-0.230</w:t>
            </w:r>
          </w:p>
        </w:tc>
      </w:tr>
    </w:tbl>
    <w:p/>
    <w:p>
      <w:pPr>
        <w:jc w:val="left"/>
      </w:pPr>
      <w:r>
        <w:rPr>
          <w:b/>
          <w:color w:val="002D62"/>
          <w:sz w:val="26"/>
        </w:rPr>
        <w:t>Insights Clave</w:t>
      </w:r>
    </w:p>
    <w:p>
      <w:pPr>
        <w:pStyle w:val="ListBullet"/>
      </w:pPr>
      <w:r>
        <w:rPr>
          <w:b/>
          <w:sz w:val="19"/>
        </w:rPr>
        <w:t xml:space="preserve">El rebote ofensivo no predice victoria en la Era Casalanguida.  </w:t>
      </w:r>
      <w:r>
        <w:rPr>
          <w:sz w:val="19"/>
        </w:rPr>
        <w:t>Con Casalanguida, Boca gana capturando menos OREB/G (8.0 vs 10.5 en derrotas). El nuevo sistema prioriza eficiencia en primera posesión sobre segundas oportunidades.</w:t>
      </w:r>
    </w:p>
    <w:p>
      <w:pPr>
        <w:pStyle w:val="ListBullet"/>
      </w:pPr>
      <w:r>
        <w:rPr>
          <w:b/>
          <w:sz w:val="19"/>
        </w:rPr>
        <w:t xml:space="preserve">Caída pronunciada en SC Pts/G en victorias recientes.  </w:t>
      </w:r>
      <w:r>
        <w:rPr>
          <w:sz w:val="19"/>
        </w:rPr>
        <w:t>En los últimos 5, Boca convierte solo 6.0 SC Pts/G en victorias vs 15.9 en el período Pre-Casalanguida. Menor dependencia del cristal ofensivo como fuente de puntos.</w:t>
      </w:r>
    </w:p>
    <w:p>
      <w:pPr>
        <w:pStyle w:val="ListBullet"/>
      </w:pPr>
      <w:r>
        <w:rPr>
          <w:b/>
          <w:sz w:val="19"/>
        </w:rPr>
        <w:t xml:space="preserve">PPP en SC bajó de 1.39 → 0.82 en victorias (L5).  </w:t>
      </w:r>
      <w:r>
        <w:rPr>
          <w:sz w:val="19"/>
        </w:rPr>
        <w:t>La eficiencia de conversión en segundas oportunidades recientes es la más baja del año. Puede indicar posesiones de menor calidad luego del OREB (más tiros forzados).</w:t>
      </w:r>
    </w:p>
    <w:p>
      <w:pPr>
        <w:pStyle w:val="ListBullet"/>
      </w:pPr>
      <w:r>
        <w:rPr>
          <w:b/>
          <w:sz w:val="19"/>
        </w:rPr>
        <w:t xml:space="preserve">OREB% en victorias cayó 35.1% → 26.6% → 23.4% a lo largo del año.  </w:t>
      </w:r>
      <w:r>
        <w:rPr>
          <w:sz w:val="19"/>
        </w:rPr>
        <w:t>Tendencia consistente: Boca controla cada vez menos el cristal ofensivo en sus victorias. Correlaciona con un estilo de juego más dinámico y con menor tiempo en la pintura.</w:t>
      </w:r>
    </w:p>
    <w:p>
      <w:pPr>
        <w:pStyle w:val="ListBullet"/>
      </w:pPr>
      <w:r>
        <w:rPr>
          <w:b/>
          <w:sz w:val="19"/>
        </w:rPr>
        <w:t xml:space="preserve">Muestra reducida en derrotas Era Casalanguida (n=2).  </w:t>
      </w:r>
      <w:r>
        <w:rPr>
          <w:sz w:val="19"/>
        </w:rPr>
        <w:t>Los valores de "Derrota" en ese período y en L5 corresponden exactamente a los mismos 2 partidos. Tratar ese diferencial con cautela; se necesita más muestra para extraer conclusiones definitivas.</w:t>
      </w:r>
    </w:p>
    <w:p/>
    <w:p>
      <w:r>
        <w:rPr>
          <w:b/>
          <w:sz w:val="17"/>
        </w:rPr>
        <w:t xml:space="preserve">Metodología: </w:t>
      </w:r>
      <w:r>
        <w:rPr>
          <w:i/>
          <w:sz w:val="17"/>
        </w:rPr>
        <w:t>OREB totales extraídos del box score oficial. Posesiones de SC reconstruidas evento a evento desde el play-by-play (evento REBOTE-OFENSIVO de Boca → seguimiento hasta fin de posesión). Períodos: Pre-Casalanguida &lt; 02/02/2026; Era Casalanguida ≥ 10/02/2026; L5 = últimos 5 partidos.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