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GOVERNO DO ESTADO DE MINAS GERAIS</w:t>
      </w:r>
    </w:p>
    <w:p>
      <w:pPr>
        <w:spacing w:after="1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SECRETARIA DE ESTADO DE EDUCAÇÃO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GERADOR DE PROJETO POLÍTICO-PEDAGÓGICO</w:t>
      </w:r>
    </w:p>
    <w:p>
      <w:pPr>
        <w:spacing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Conformidade da Proposta Pedagógica e alinhamento à nova resolução</w:t>
      </w:r>
    </w:p>
    <w:p>
      <w:pPr>
        <w:spacing w:after="16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Versão 6.5 · Setembro de 2026</w:t>
      </w:r>
    </w:p>
    <w:p>
      <w:pPr>
        <w:spacing w:after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Para as áreas técnicas da SEE/MG e para a equipe de desenvolvimento da área de inovação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O que foi verificado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Este relatório responde a duas perguntas encadeadas. A primeira: o Projeto Político-Pedagógico gerado pelo sistema contempla os aspectos exigidos da Proposta Pedagógica — justificativa, organização pedagógica, programa de educação continuada, participação dos profissionais no processo decisório, avaliação institucional e outros aspectos? A segunda, surgida no curso do trabalho: o que muda quando entra em vigor a nova resolução pedagógica de 2026, cuja minuta foi disponibilizada durante esta revisão?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verificação não foi feita sobre a intenção do sistema, e sim sobre o documento que ele efetivamente produz. O PPP foi gerado com todos os campos preenchidos, extraído em texto corrido e conferido seção por seção. Onde a lista normativa exigia um aspecto que o documento não continha, registrou-se a lacuna; onde o aspecto aparecia de forma dispersa ou apenas mencionada, registrou-se atendimento parcial. Só então se implementaram as correções.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Ressalva de método. </w:t>
      </w:r>
      <w:r>
        <w:rPr>
          <w:rFonts w:ascii="Arial" w:cs="Arial" w:eastAsia="Arial" w:hAnsi="Arial"/>
          <w:sz w:val="22"/>
          <w:szCs w:val="22"/>
        </w:rPr>
        <w:t xml:space="preserve">A lista de aspectos da Proposta Pedagógica foi analisada tal como recebida, sem que se tenha confirmado sua fonte normativa exata contra o texto oficial. A minuta da resolução pedagógica, por sua vez, é documento em elaboração: não tem número nem data, traz marcas de revisão e pode ainda mudar. Todas as citações dela extraídas estão listadas no capítulo 6 para conferência pelas áreas técnicas, e todas são editáveis no sistema sem intervenção de programador.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Situação encontrada — antes da revisão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conferência do documento gerado pela versão 6.4 mostrou o seguinte quadro.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2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Aspecto exigido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Constatação no documento gerado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a) justificativa da proposta pedagógica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Diluída na Apresentação; nunca solicitada de forma explícita. A palavra "justificativa" aparecia uma única vez no sistema, na pauta de um vídeo.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currículo escolar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Atendido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Seções 6, 6.1, 6.2, 6.3, 7 e 8.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verificação de desempenho e recuperação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Avaliação e recuperação presentes. "Aceleração" e "reclassificação": zero ocorrências. "Classificação" só como vedação na Educação Infantil. "Aproveitamento de estudos" só no texto-base da EJA.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programação das atividades — calendário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atendido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palavra "calendário" só aparecia dentro de textos-base de modalidade. Não havia campo nem seção.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organização do trabalho escolar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Tangenciada na gestão democrática, sem descrição da organização de turnos, tempos e rotinas.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articulação e integração dos profissionais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Mencionada na gestão democrática, sem descrição de processos.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articulação com a comunidade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Atendido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Seções 14 e 16 da numeração anterior.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informação aos pais sobre frequência e desempenho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atendido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Zero ocorrências no documento. Existia no código um texto pronto sobre frequência e notificação a responsáveis e Conselho Tutelar que não era inserido em nenhuma seção.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c) programa de educação continuada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Atendido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Seção 15 da numeração anterior.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d) participação dos profissionais no processo decisório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descrição dos processos.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e) avaliação institucional interna e externa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Citada de passagem em um texto fixo, nunca como procedimento a descrever.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f) outros aspectos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atendido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havia espaço livre para a escola acrescentar.</w:t>
            </w:r>
          </w:p>
        </w:tc>
      </w:tr>
    </w:tbl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Dois achados merecem destaque pela natureza. O primeiro é o texto órfão: um parágrafo tecnicamente correto sobre acompanhamento da frequência, notificação dos responsáveis e comunicação ao Conselho Tutelar existia no sistema, mas não era chamado por nenhuma seção do documento — código morto, invisível em qualquer inspeção que olhasse apenas o resultado. O segundo é a ausência de espaço livre: um documento que não oferece onde acrescentar obriga a escola a forçar conteúdo em seções que não o comportam.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O impacto da nova resolução pedagógica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minuta apresentada durante esta revisão altera o problema. Não se trata apenas de preencher lacunas: o art. 188 revoga expressamente as Resoluções SEE nº 5.209/2025, nº 5.234/2026 e nº 5.243/2026 — as três normas em que o sistema apoiava suas citações. Havia 37 referências a elas nos textos fixos, nas telas formativas, nas mensagens de correio eletrônico e na lista de referências do documento. Publicada a nova resolução, todas essas citações passariam a apontar para normas revogadas.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O número que ainda não existe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minuta não tem número nem data. Reproduzir um número provisório no sistema seria criar um erro programado. A solução adotada usa a arquitetura que já existia para a curadoria de conteúdo: foram criados dois parâmetros de rede — a citação curta, usada dentro dos textos, e a referência no formato ABNT, usada na lista de referências do documento. Todos os textos citam esses parâmetros, e não o número diretamente.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Consequência prática: quando a resolução for publicada, o Órgão Central entra na curadoria, abre "Parâmetros da rede", preenche dois campos e publica. As 27 citações no documento e as demais nas telas formativas se atualizam de uma vez. Nenhuma linha de código é tocada. Enquanto os campos não forem preenchidos, a curadoria exibe um aviso permanente ao editor, informando quantos textos dependem daquele preenchimento.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Uma exigência nova, fora da lista verificada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Os arts. 5º, VI, 8º e 164 da minuta tornam o Plano de Convivência Escolar parte integrante do Projeto Político-Pedagógico, articulado aos seus objetivos e ações pedagógicas. O sistema não tratava do assunto. Como a norma que fixava a numeração anterior das seções está entre as revogadas, aproveitou-se para inserir a matéria no lugar pedagogicamente correto — logo após o protagonismo estudantil e antes da relação com as famílias —, com a renumeração das seções seguintes.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O que a versão 6.5 passou a contemplar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documento passou de 20 para 22 seções. A tabela a seguir liga cada aspecto exigido à seção que o atende.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5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Aspecto exigido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Onde é atendido agora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a) justificativa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Apresentação — subseção "Justificativa da proposta pedagógica"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 fixo explicando a função da justificativa (art. 22 e art. 3º da LDB; art. 5º da resolução) e campo próprio de escrita, com devolutiva automática que cobra razões e vínculo com o diagnóstico.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currículo escolar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6, 6.1, 6.2, 6.3, 7, 8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 de currículo reescrito a partir do art. 39 (componentes das áreas da BNCC, CRMG, Temas Integradores) e novo texto de práticas pedagógicas a partir do art. 37.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verificação de desempenho, recuperação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Cinco textos fixos novos ou reescritos: caráter e premissas da avaliação (arts. 138 e 139); procedimentos, instrumentos e avaliação diagnóstica inicial (arts. 140 a 142); distribuição de pontos e aprovação (arts. 143 e 144); recuperação em suas quatro modalidades (art. 146); Conselho de Classe e decisão sobre a promoção (arts. 148 e 149).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aceleração, avanços e outros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9.2 e 9.3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Nova subseção 9.2 com texto fixo sobre classificação, reclassificação, avanço escolar, aceleração, reclassificação por transferência e por frequência (arts. 158 e 159) e campo de escrita para os procedimentos da escola. Nova subseção 9.3 sobre progressão continuada e progressão parcial (arts. 151 a 157).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programação das atividades — calendário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Nova subseção com texto fixo sobre organização do tempo escolar, calendário, dia letivo, dia escolar e atividades fora do espaço escolar (arts. 9º a 16) e campo de escrita para turnos, tempos e distribuição do calendário na escola.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organização do trabalho escolar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Mesmo campo: distribuição de turmas por turno, alocação dos profissionais, tempos de aula e de planejamento, rotinas.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articulação e integração dos profissionais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17.1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Nova subseção com texto fixo sobre os tempos institucionais (dia escolar do art. 14, definição coletiva dos critérios de avaliação do art. 138, análise das transições do art. 140) e campo de escrita.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articulação com a comunidade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e 17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Mantidas, com a inclusão da publicidade dos atos (17.3, art. 175).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informação aos pais sobre frequência e desempenho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15.1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Nova subseção. Texto fixo sobre prazos e forma de comunicação dos resultados (arts. 145, 147 e 24) e sobre o fluxo de infrequência (arts. 27 a 32 e Resolução SEE nº 5.080/2024), aproveitando o texto que estava órfão. Campo de escrita com devolutiva que cobra prazo e responsável.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c) programa de educação continuada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 reescrito a partir dos arts. 177 a 179, com a prioridade da formação no âmbito da própria escola.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d) participação dos profissionais no processo decisório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17.2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Nova subseção com texto fixo ancorado no art. 14, I, da LDB e no art. 5º, I, da resolução, listando as instâncias concretas de deliberação, e campo de escrita.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e) avaliação institucional interna e externa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19.2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Nova subseção com texto fixo que distingue a avaliação interna — realizada nos dias escolares do art. 14 — da externa, e remete à devolutiva pública do art. 175. Campo de escrita com devolutiva que cobra instrumento e devolutiva à comunidade.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f) outros aspectos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Nova seção facultativa. Quando a escola nada acrescenta, o documento registra expressamente que não foram identificados outros aspectos — a seção existe porque a norma prevê o espaço.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Plano de Convivência Escolar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 e 14.1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Seção nova. Texto fixo sobre o Plano como parte integrante do PPP (arts. 8º e 164), as oito responsabilidades da gestão (art. 167) e o papel do NAE (arts. 161 a 163; Lei nº 13.935/2019). Tela formativa própria e campo de escrita.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A estrutura do documento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As seções 1 a 13 mantêm a numeração anterior. A partir da 14, a estrutura passa a ser: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14. Convivência escolar e cultura de paz — 14.1 Plano de Convivência Escolar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15. Relação escola–família–comunidade — 15.1 Informação às famílias sobre frequência e desempenho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16. Formação continuada dos profissionais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17. Gestão democrática — 17.1 Articulação e integração dos profissionais · 17.2 Participação no processo decisório · 17.3 Publicidade dos atos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18. Projetos e programas da escola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19. Acompanhamento e revisão do PPP — 19.1 Planejamento das ações · 19.2 Avaliação institucional · 19.3 Balanço da vigência anterior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20. Outros aspectos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21. Referências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22. Folha de assinaturas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Nas seções anteriores, foram acrescentadas a subseção 6.4 (organização do trabalho escolar e calendário) e as subseções 9.1, 9.2 e 9.3 (verificação do desempenho e recuperação; classificação, reclassificação, aceleração e avanço; progressão continuada e parcial). A seção 8 passou a chamar-se "Metodologias e práticas pedagógicas", em razão do art. 37.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O que isso significa para quem preenche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percurso ganhou nove campos de escrita e duas telas — uma formativa sobre convivência escolar e uma de escrita para o Plano de Convivência, além da tela sobre os profissionais da escola. São 38 telas ao todo. O aumento é real e foi deliberado: cada campo novo corresponde a uma exigência normativa que o documento antes não cumpria, e nenhum deles duplica campo existente.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Para compensar a carga, três providências. Os textos fixos novos entram automaticamente no documento — a escola não redige o que a norma já determina, apenas descreve o que faz. Todos os campos novos têm exemplo de redação e orientação sobre o que se espera. E oito deles têm devolutiva automática: o sistema lê o que foi escrito e aponta, por exemplo, que a seção de informação às famílias não menciona prazo, ou que a de avaliação institucional não diz como o resultado volta para a comunidade.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Verificação técnica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As três baterias de teste foram executadas e ampliadas para a nova estrutura: 147 verificações de fluxo, 32 de borda e 75 de servidor — 254 ao todo, sem falhas. Além delas, foi escrita uma rotina de conferência que percorre as 38 telas uma a uma, preenche todos os campos, gera o documento completo e confere se cada texto novo aparece no mapa da curadoria.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700"/>
      </w:tblGrid>
      <w:tr>
        <w:trPr>
          <w:tblHeader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Telas percorridas sem erro de execução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 de 38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Itens da lista de completude normativa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 (eram 29)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Textos fixos do documento editáveis pela curadoria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de 29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Seções e subseções editáveis pela curadoria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todas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Campos editáveis pelo Órgão Central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1.031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Citações de normas revogadas remanescentes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nenhuma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Colunas da planilha de registros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 (eram 81; as novas entraram ao final)</w:t>
            </w:r>
          </w:p>
        </w:tc>
      </w:tr>
    </w:tbl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regra de acrescentar colunas sempre ao final foi mantida: planilhas já em uso não se desalinham quando o sistema é atualizado.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Dispositivos citados — para conferência das áreas técnicas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Todo dispositivo abaixo foi extraído da minuta apresentada. Como o documento ainda está em elaboração, a conferência antes da implantação é indispensável. Cada citação está em texto editável pela curadoria: se um artigo mudar de número na versão publicada, a correção é feita no próprio sistema.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70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Dispositivo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Onde é citado no sistema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Art. 5º (diretrizes do PPP) e art. 5º, I e VI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Apresentação/justificativa; 17.2; tela formativa de convivência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Art. 7º e parágrafo único (aprovação, revisão bienal, papel da SRE)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Seção 19; tela final; mensagens de correio eletrônico; declaração de assinatura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Arts. 8º e 164 (Plano de Convivência Escolar)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Seção 14 e 14.1; tela formativa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Arts. 9º a 16 (tempo escolar, calendário, dia letivo, dia escolar)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Subseção 6.4; 17.1; 19.2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Art. 18 (aproveitamento de estudos na matrícula)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Subseção 9.2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Art. 24 (informação aos responsáveis na matrícula)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Subseção 15.1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Arts. 27 a 32 (frequência, infrequência, Conselho Tutelar, responsabilização)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Subseção 15.1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Art. 37 (práticas pedagógicas)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Seção 8; seção 12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Art. 39 (organização curricular, BNCC, CRMG, Temas Integradores)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Seção 6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Arts. 45 a 48 (Ensino Fundamental)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Textos-base das etapas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Arts. 138 a 142 (avaliação: caráter, premissas, instrumentos, diagnóstica, intervenção)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Subseção 9.1; 17.1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Arts. 143 a 145 (pontos, aprovação, comunicação em 10 dias úteis)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Subseções 9.1 e 15.1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Arts. 146 e 147 (recuperação e comunicação do resultado final)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Subseções 9.1 e 15.1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Arts. 148 a 150 (Conselho de Classe e promoção)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Subseção 9.1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Arts. 151 a 157 (progressão continuada e parcial)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Subseção 9.3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Arts. 158 e 159 (classificação e reclassificação)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Subseção 9.2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Arts. 161 a 163 (NAE)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Seção 14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Arts. 164 a 168 (convivência, violências, responsabilidades da gestão)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Seção 14; tela formativa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Art. 175 (publicidade dos atos)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Subseção 17.3; 19.2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Arts. 177 a 179 (formação continuada)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Seção 16; tela formativa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Art. 188 (revogações)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 da migração das citações</w:t>
            </w:r>
          </w:p>
        </w:tc>
      </w:tr>
    </w:tbl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Normas externas citadas e não afetadas pela revogação: LDB (arts. 3º, 12, 13, 14, 22, 23, 24 e 26); Constituição Federal, art. 206, VI; Resolução SEE nº 5.080/2024 (busca ativa); Resolução SEE nº 4.188/2019 (Assembleia e Colegiado Escolar); Resolução CEE/MG nº 481/2021 (CRMG); Leis nº 13.146/2015, nº 13.709/2018, nº 13.935/2019, nº 14.533/2023, nº 15.100/2025 e nº 15.211/2025; Lei Estadual nº 25.881/2026; Resoluções SEE nº 4.256/2020 e nº 4.701/2022.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Pontos de atenção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Antes da implantação. </w:t>
      </w:r>
      <w:r>
        <w:rPr>
          <w:rFonts w:ascii="Arial" w:cs="Arial" w:eastAsia="Arial" w:hAnsi="Arial"/>
          <w:sz w:val="22"/>
          <w:szCs w:val="22"/>
        </w:rPr>
        <w:t xml:space="preserve">Preencher os dois parâmetros da resolução pedagógica assim que o número for publicado. Enquanto não forem preenchidos, o documento gerado exibe a expressão "[nº a publicar]" em 27 pontos, e a curadoria alerta o editor a cada acesso. É um lembrete deliberado: preferiu-se um marcador visível a um número inventado.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Conferência dos artigos. </w:t>
      </w:r>
      <w:r>
        <w:rPr>
          <w:rFonts w:ascii="Arial" w:cs="Arial" w:eastAsia="Arial" w:hAnsi="Arial"/>
          <w:sz w:val="22"/>
          <w:szCs w:val="22"/>
        </w:rPr>
        <w:t xml:space="preserve">A tabela do capítulo 6 deve ser percorrida pelas áreas técnicas contra o texto publicado. A minuta traz marcas de revisão e ao menos um artigo sem numeração definida, no capítulo do NAE.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Educação Infantil. </w:t>
      </w:r>
      <w:r>
        <w:rPr>
          <w:rFonts w:ascii="Arial" w:cs="Arial" w:eastAsia="Arial" w:hAnsi="Arial"/>
          <w:sz w:val="22"/>
          <w:szCs w:val="22"/>
        </w:rPr>
        <w:t xml:space="preserve">A minuta restringe a oferta da pré-escola pela rede estadual às escolas indígenas e quilombolas, mediante autorização prévia. Os textos-base da Educação Infantil no sistema não foram revistos sob essa ótica nesta rodada e merecem conferência específica.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Modalidades. </w:t>
      </w:r>
      <w:r>
        <w:rPr>
          <w:rFonts w:ascii="Arial" w:cs="Arial" w:eastAsia="Arial" w:hAnsi="Arial"/>
          <w:sz w:val="22"/>
          <w:szCs w:val="22"/>
        </w:rPr>
        <w:t xml:space="preserve">A minuta detalha EJA, Educação Profissional, Educação Especial, Educação do Campo, Educação Escolar Indígena, Educação Escolar Quilombola e Educação Bilíngue de Surdos em sete capítulos. Os textos-base dessas modalidades no sistema vêm da normativa anterior e permanecem válidos em substância, mas ganhariam precisão se revistos contra o novo texto. Fica registrado como próxima rodada.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Carga de preenchimento. </w:t>
      </w:r>
      <w:r>
        <w:rPr>
          <w:rFonts w:ascii="Arial" w:cs="Arial" w:eastAsia="Arial" w:hAnsi="Arial"/>
          <w:sz w:val="22"/>
          <w:szCs w:val="22"/>
        </w:rPr>
        <w:t xml:space="preserve">Recomenda-se acompanhar, nas primeiras escolas, quanto tempo os campos novos consomem. Se a subseção 9.2 se mostrar excessiva para escolas que raramente reclassificam, a curadoria permite transformá-la em texto exclusivamente fixo sem alteração de código — bastando esvaziar o campo de escrita da tela correspondente.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O que segue com esta entrega</w:t>
      </w:r>
    </w:p>
    <w:p>
      <w:pPr>
        <w:spacing w:after="10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Index.html — </w:t>
      </w:r>
      <w:r>
        <w:rPr>
          <w:rFonts w:ascii="Arial" w:cs="Arial" w:eastAsia="Arial" w:hAnsi="Arial"/>
          <w:sz w:val="22"/>
          <w:szCs w:val="22"/>
        </w:rPr>
        <w:t xml:space="preserve">O percurso completo: 38 telas, 22 seções do documento, curadoria de conteúdo e os três perfis de acesso.</w:t>
      </w:r>
    </w:p>
    <w:p>
      <w:pPr>
        <w:spacing w:after="10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Code.gs — </w:t>
      </w:r>
      <w:r>
        <w:rPr>
          <w:rFonts w:ascii="Arial" w:cs="Arial" w:eastAsia="Arial" w:hAnsi="Arial"/>
          <w:sz w:val="22"/>
          <w:szCs w:val="22"/>
        </w:rPr>
        <w:t xml:space="preserve">O servidor: 90 colunas de registro, sessões, assinaturas, painéis e histórico de curadoria.</w:t>
      </w:r>
    </w:p>
    <w:p>
      <w:pPr>
        <w:spacing w:after="10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Assinatura.html — </w:t>
      </w:r>
      <w:r>
        <w:rPr>
          <w:rFonts w:ascii="Arial" w:cs="Arial" w:eastAsia="Arial" w:hAnsi="Arial"/>
          <w:sz w:val="22"/>
          <w:szCs w:val="22"/>
        </w:rPr>
        <w:t xml:space="preserve">A página externa de assinatura, acessada por link individual.</w:t>
      </w:r>
    </w:p>
    <w:p>
      <w:pPr>
        <w:spacing w:after="10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Textos do sistema PPP.docx — </w:t>
      </w:r>
      <w:r>
        <w:rPr>
          <w:rFonts w:ascii="Arial" w:cs="Arial" w:eastAsia="Arial" w:hAnsi="Arial"/>
          <w:sz w:val="22"/>
          <w:szCs w:val="22"/>
        </w:rPr>
        <w:t xml:space="preserve">Extrato de todos os textos do sistema para revisão das áreas técnicas.</w:t>
      </w:r>
    </w:p>
    <w:p>
      <w:pPr>
        <w:spacing w:after="10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Manual da Curadoria de Conteúdo.docx — </w:t>
      </w:r>
      <w:r>
        <w:rPr>
          <w:rFonts w:ascii="Arial" w:cs="Arial" w:eastAsia="Arial" w:hAnsi="Arial"/>
          <w:sz w:val="22"/>
          <w:szCs w:val="22"/>
        </w:rPr>
        <w:t xml:space="preserve">Como o Órgão Central altera os textos sem programador.</w:t>
      </w:r>
    </w:p>
    <w:p>
      <w:pPr>
        <w:spacing w:after="10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Entrega Técnica.docx — </w:t>
      </w:r>
      <w:r>
        <w:rPr>
          <w:rFonts w:ascii="Arial" w:cs="Arial" w:eastAsia="Arial" w:hAnsi="Arial"/>
          <w:sz w:val="22"/>
          <w:szCs w:val="22"/>
        </w:rPr>
        <w:t xml:space="preserve">Documentação de implantação e manutenção.</w:t>
      </w:r>
    </w:p>
    <w:p>
      <w:pPr>
        <w:spacing w:after="10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teste-fluxo.js, teste-borda.js, teste-backend.js — </w:t>
      </w:r>
      <w:r>
        <w:rPr>
          <w:rFonts w:ascii="Arial" w:cs="Arial" w:eastAsia="Arial" w:hAnsi="Arial"/>
          <w:sz w:val="22"/>
          <w:szCs w:val="22"/>
        </w:rPr>
        <w:t xml:space="preserve">As 254 verificações automatizadas.</w:t>
      </w:r>
    </w:p>
    <w:p>
      <w:pPr>
        <w:spacing w:after="10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verifica.js — </w:t>
      </w:r>
      <w:r>
        <w:rPr>
          <w:rFonts w:ascii="Arial" w:cs="Arial" w:eastAsia="Arial" w:hAnsi="Arial"/>
          <w:sz w:val="22"/>
          <w:szCs w:val="22"/>
        </w:rPr>
        <w:t xml:space="preserve">Rotina de conferência estrutural: percorre as telas, gera o documento e confere a cobertura da curadoria.</w:t>
      </w:r>
    </w:p>
    <w:sectPr>
      <w:footerReference w:type="default" r:id="rId7"/>
      <w:pgSz w:w="11906" w:h="16838" w:orient="portrait"/>
      <w:pgMar w:top="1300" w:right="12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2026-09-09T14:35:14.214Z</dcterms:created>
  <dcterms:modified xsi:type="dcterms:W3CDTF">2026-09-09T14:35:14.215Z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