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GOVERNO DO ESTADO DE MINAS GERAIS</w:t>
      </w:r>
    </w:p>
    <w:p>
      <w:pPr>
        <w:spacing w:after="1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SECRETARIA DE ESTADO DE EDUCAÇÃO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GERADOR DE PROJETO POLÍTICO-PEDAGÓGICO</w:t>
      </w:r>
    </w:p>
    <w:p>
      <w:pPr>
        <w:spacing w:after="120"/>
        <w:jc w:val="center"/>
      </w:pPr>
      <w:r>
        <w:rPr>
          <w:rFonts w:ascii="Arial" w:cs="Arial" w:eastAsia="Arial" w:hAnsi="Arial"/>
          <w:sz w:val="26"/>
          <w:szCs w:val="26"/>
        </w:rPr>
        <w:t xml:space="preserve">Manual da Curadoria de Conteúdo</w:t>
      </w:r>
    </w:p>
    <w:p>
      <w:pPr>
        <w:spacing w:after="1600"/>
        <w:jc w:val="center"/>
      </w:pPr>
      <w:r>
        <w:rPr>
          <w:rFonts w:ascii="Arial" w:cs="Arial" w:eastAsia="Arial" w:hAnsi="Arial"/>
          <w:sz w:val="22"/>
          <w:szCs w:val="22"/>
        </w:rPr>
        <w:t xml:space="preserve">Perfis de acesso e edição dos textos do sistema</w:t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Órgão Central e Superintendências Regionais · setembro de 2026 · versão 6.4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Para que serve esta área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Gerador de PPP escreve, sozinho, boa parte do Projeto Político-Pedagógico de cada escola: os parágrafos que a rede assume institucionalmente, os textos que entram quando a escola marca uma etapa ou uma modalidade, as referências normativas, as mensagens dos e-mails e a folha de assinaturas. Esses textos citam resoluções, leis e prazos — e resolução muda.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Até a versão 6.1, mudar qualquer uma dessas palavras exigia abrir o código e uma nova implantação, isto é, dependia da equipe de desenvolvimento. Agora não: o Órgão Central entra no sistema, navega até a tela em que o texto aparece, clica nele, escreve por cima e publica. A partir daquele momento, toda escola que abrir o PPP vê o texto novo.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São 896 campos de texto sob curadoria — praticamente tudo o que a escola lê ou recebe do sistema. Fora do alcance ficam apenas a estrutura (quantas telas existem, quais campos a escola preenche, como o documento é montado) e as regras de funcionamento (o que trava, o que é obrigatório, como as assinaturas são colhidas). Isso continua com a equipe de desenvolvimento.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 que muda e o que não muda quando você publica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 do PPP da escola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Passa a ver o texto novo na próxima vez que abrir o sistema. É o efeito desejado quando a norma muda.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Concluído, assinado, com ata ou homologado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muda nada. O conteúdo foi congelado no momento da conclusão e o PDF continua sendo gerado a partir daquele arquivo. O código de verificação permanece válido.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versão aberta depois da publicação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Nasce com o texto novo, como qualquer PPP em andamento.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Guarde esta consequência: publicar não reescreve documentos já assinados. Se uma norma nova precisa alcançar PPPs já homologados, o caminho não é a curadoria — é orientar as escolas a abrirem a revisão.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Os três perfis de acesso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>A abertura do sistema oferece quatro portas — Direção escolar, Colegiado Escolar, Superintendência Regional de Ensino e Órgão Central (desde a 7.4 o colegiado tem entrada própria, separada da direção). Cada pessoa entra pela sua e vê apenas o que lhe cabe.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 entra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Direção escolar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senha: inicia um percurso novo ou retoma o seu pelo número do protocolo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Elabora e responde o PPP da escola, colhe as assinaturas, anexa a ata e registra o envio para homologação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Superintendência Regional de Ensino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e senha cadastrados pelo Órgão Central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Acompanha, em um painel, os PPPs de todas as escolas da sua regional e abre qualquer um deles para leitura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Órgão Central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Senha institucional (e, quando o sistema identifica o usuário, e-mail na lista de curadores)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Escolhe entre dois modos: visualização, que alcança os documentos de toda a rede; e edição de textos, que altera o conteúdo do sistema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Os perfis regional e do Órgão Central são apenas de consulta quanto aos documentos: eles leem o PPP das escolas, mas não preenchem nem alteram o que a escola escreveu. O que o Órgão Central altera são os textos do sistema — aqueles que o próprio sistema insere no documento de todas as escolas.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Painel institucional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Ao entrar como regional, ou como Órgão Central em modo de visualização, a primeira tela é o painel. Ele traz, no alto, o resumo por situação — quantos PPPs estão em elaboração, em assinatura, aguardando homologação e homologados, e quantas ressalvas foram registradas pelos membros dos Colegiados. Abaixo, a lista das escolas, com filtros por regional (só para o Órgão Central), por situação e por busca livre de escola, município, protocolo ou código INEP.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>Cada linha mostra o percentual de preenchimento, o andamento das assinaturas e a data da última alteração. "Abrir documento" mostra o PPP como ele está naquele momento; quando já existe PDF, o botão "PDF" pede o arquivo oficial ao sistema, que o entrega depois de conferir a autorização (desde a 7.4 não há link direto do Drive).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Cadastro dos acessos regionais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Órgão Central cadastra as regionais dentro do próprio sistema, na aba "Acessos das regionais" do painel. Informe nome do responsável, e-mail institucional, a SRE e uma senha inicial, que deve ser transmitida à regional pelo canal institucional. O mesmo formulário edita um acesso existente — deixar a senha em branco mantém a atual — e permite inativar quem deixou a função, sem apagar o cadastro nem o histórico.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Editar os textos: onde eles aparecem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Esta é a parte que interessa quando uma resolução muda. A edição acontece nas próprias telas do sistema: você navega como uma escola navega e altera o texto no lugar em que ele é lido.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Na abertura, escolha "Órgão Central" e informe a senha institucional e seu nome (o nome fica registrado no histórico).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Escolha "Editar os textos do sistema".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O sistema abre o percurso normal, com uma faixa azul no rodapé indicando o modo de edição. Todo texto que pode ser alterado aparece sublinhado por um tracejado — nas telas de estudo, nas telas de marcação, nos campos de escrita e também no documento montado à direita.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Clique no texto. Ele vira um campo editável ali mesmo. Escreva. Enter grava, Esc cancela, e clicar fora também grava.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Repita quantas vezes precisar, navegando pelas telas e módulos. O rodapé mostra quantos textos você já alterou.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"Ver como a escola vê" tira o tracejado e mostra as telas exatamente como a escola as verá, com as alterações aplicadas — ainda sem publicar.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"Publicar" confirma a troca para toda a rede. Antes disso, nada mudou para ninguém.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Alguns textos não são editados no lugar, porque na tela eles aparecem combinados com outros — é o caso dos parágrafos das seções 6.1 e 6.2 do documento, montados a partir das etapas e modalidades que a escola marcou. Ao clicar num deles, o sistema abre a lista completa já posicionada no campo certo. O botão "Lista completa", no rodapé, dá acesso a essa lista a qualquer momento: é onde ficam também os textos que não aparecem em nenhuma tela — as mensagens de e-mail, os trechos da folha de assinaturas, as referências normativas e os parâmetros.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 que fazer quando não se acha o texto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Abra a "Lista completa" e use a busca do alto: ela percorre rótulos e conteúdos do grupo aberto. Digitar o número de uma resolução encontra todas as passagens que a citam naquele grupo. Os grupos estão organizados na mesma ordem do sistema: os textos fixos do documento, os seis catálogos de marcação, os dez módulos do percurso, as referências, os vídeos, os textos da interface, os e-mails e os parâmetros.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"Descartar" apaga tudo o que ainda não foi publicado e devolve os textos ao que está no ar. Cada campo tem, além disso, "Restaurar o texto padrão", que devolve o texto original do sistema — o que veio no código, antes de qualquer alteração da curadoria.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Rascunho, prévia e publicação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Toda alteração passa por três momentos, e nenhum deles é irreversível.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Rascunho. O que você escreve fica guardado como rascunho, identificado com seu nome. Nada muda para as escolas. Você pode sair e continuar noutro dia — o rascunho estará lá.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Prévia. "Ver como a escola vê" mostra as telas com o rascunho aplicado, sem o tracejado da edição. É o momento de conferir se o texto ficou no lugar certo e se o documento continua coerente.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Publicação. Confirma a troca para toda a rede, incrementa a versão do conteúdo e registra tudo no histórico, com data, autor e o texto que havia antes.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Para desfazer um campo, clique em “Restaurar o texto padrão”: o texto original do sistema volta. A restauração também é um rascunho — só vale depois de publicada.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Exemplo: uma resolução foi substituída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Suponha que a resolução pedagógica vigente seja substituída por outra, alterando a distribuição de pontos dos trimestres.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Entre como Órgão Central e escolha "Editar os textos do sistema". Abra a "Lista completa" e busque pelo assunto, grupo a grupo: os textos fixos do PPP, os módulos, as referências e os textos da interface trarão as passagens que citam a norma.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Corrija cada passagem. No grupo “Textos fixos do PPP”, o campo “Avaliação — trimestres, pontuação e aprovação” concentra a regra de pontos.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No grupo “Referências”, substitua a entrada da norma revogada pela nova, mantendo o formato ABNT das demais linhas.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Volte às telas, use "Ver como a escola vê" e confira o módulo 6 e a seção 21 do documento montado à direita.</w:t>
      </w:r>
    </w:p>
    <w:p>
      <w:pPr>
        <w:spacing w:after="120" w:line="288"/>
        <w:ind w:left="560" w:hanging="5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Publique. Comunique as SREs: escolas com PPP em andamento verão o texto novo; as que já concluíram permanecem com o texto antigo, corretamente, porque foi sob ele que assinaram.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Situações específicas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Publicar um vídeo formativo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 grupo “Vídeos”, cada gravação tem um campo “ID do YouTube”. Cole ali apenas o código do vídeo — o trecho depois de “v=” ou de “youtu.be/”, algo como AbCdEf12345 —, não o endereço inteiro. Publique: o vídeo passa a aparecer na tela. Enquanto o campo estiver vazio, a tela mostra a pauta da gravação, e o texto da tela continua completo e suficiente. Para hospedagem fora do YouTube, use o campo “endereço alternativo” com o endereço de incorporação fornecido pelo serviço.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Acrescentar um tema, princípio ou metodologia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Nos catálogos de temas transversais, princípios, metodologias e infraestrutura há, no alto, um campo para acrescentar item: informe o rótulo que a escola verá, a referência normativa e o texto que entrará no documento quando ela marcar. O texto novo deve seguir o padrão dos demais — frase que continue a abertura da seção, em minúscula e sem ponto final, porque os itens são encadeados por ponto e vírgula. Confira na prévia antes de publicar.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Os catálogos de etapas e de modalidades não aceitam itens novos por esta via: eles comandam a tabela de indicadores, as indicações obrigatórias e as referências condicionais. Acrescentar uma modalidade continua sendo pedido à equipe de desenvolvimento.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Retirar um item que saiu de uso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Nos mesmos quatro catálogos, o botão “ocultar” retira o item da tela de marcação. As escolas que já o haviam marcado continuam com ele no documento — nada é apagado retroativamente. Para trazê-lo de volta, o botão vira “exibir de novo”.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Mudar o nome de um sistema da rede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 grupo “Sistemas, listas e parâmetros”, o nome de cada sistema aparece uma única vez e o sistema o substitui em todas as telas que o citam. Observe a regra que o projeto adotou: nomes de sistemas aparecem apenas nas telas de estudo; os textos que entram no documento da escola referem-se a funções e a normas, nunca a marcas, para não envelhecerem. Ao editar um texto do documento, mantenha essa regra.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Textos de e-mail e da folha de assinaturas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Nesses textos há trechos entre chaves — {escola}, {protocolo}, {link}, {nome}, {hash}. O sistema os substitui pelos dados reais no momento do envio. Mantenha-os exatamente como estão, inclusive as chaves; apagar um deles faz a informação sumir da mensagem.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Cuidados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Prefira alterar o texto a apagá-lo. Um campo esvaziado deixa um buraco no documento; se a intenção é remover uma exigência, reescreva a frase.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Na edição direta, Enter grava e Esc cancela. Para escrever mais de um parágrafo num mesmo campo, use a lista completa — ali o campo é uma caixa de texto comum.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Confira na prévia antes de publicar, sempre. É o único momento em que se vê o texto no lugar em que a escola o lê.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Nos textos que entram no documento, escreva em terceira pessoa e no presente, como o restante do PPP, e evite tratar a escola por “você”.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Ao citar uma norma, escreva o número por extenso e a data, como nas demais passagens da lista de referências.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Alterações grandes — a reescrita de uma seção inteira, por exemplo — merecem ser feitas em rascunho e revisadas por outra pessoa da equipe antes da publicação.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Avise as Superintendências quando publicar mudanças que afetem PPPs em elaboração. As escolas não recebem aviso automático.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Arial" w:cs="Arial" w:eastAsia="Arial" w:hAnsi="Arial"/>
          <w:sz w:val="22"/>
          <w:szCs w:val="22"/>
        </w:rPr>
        <w:t xml:space="preserve">A negrito e itálico usam marcação simples (&lt;b&gt; e &lt;i&gt;). Se não tiver segurança, escreva sem formatação: o sistema cuida da aparência.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Se algo sair errado, nada é perdido: cada campo tem “Restaurar o texto padrão”, o histórico guarda o que havia antes e a base é copiada diariamente.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Quando chamar a equipe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um acesso do Órgão Central para outra pessoa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 ser feito no cadastro de acessos, mas exige atenção: esse perfil altera os textos de toda a rede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ou remover uma tela do percurso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estrutura do percurso está no código e afeta o ponto em que cada escola parou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um campo de escrita novo ou uma seção nova no documento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Exige coluna nova na base e ajuste da montagem do documento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Acrescentar uma etapa de ensino ou uma modalidade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Comandam a tabela de indicadores, as indicações obrigatórias e as referências condicionais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Mudar uma regra: o que trava, o que é obrigatório, como as assinaturas são colhidas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regras de funcionamento, não texto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Alterar a ordem ou a numeração das seções do PPP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Muda a estrutura do documento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da senha de curadoria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Só se redefine no editor do Apps Script</w:t>
            </w:r>
          </w:p>
        </w:tc>
      </w:tr>
    </w:tbl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Para tudo o mais que for palavra na tela, no documento, no e-mail ou na folha de assinaturas, a curadoria basta.</w:t>
      </w:r>
    </w:p>
    <w:p>
      <w:pPr>
        <w:pStyle w:val="Heading1"/>
        <w:pageBreakBefore/>
        <w:pBdr>
          <w:bottom w:val="single" w:color="BFBFBF" w:sz="4" w:space="6"/>
        </w:pBdr>
        <w:spacing w:after="2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A resolução pedagógica: dois campos que valem por trinta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Este capítulo trata da tarefa mais importante que a curadoria terá logo depois da implantação, e da razão pela qual ela existe.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Por que o sistema não cita nenhum número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nova resolução pedagógica de 2026 revoga as três resoluções em que o sistema apoiava suas citações. Quando o sistema foi alinhado a ela, a resolução ainda não tinha número nem data de publicação. Escrever um número provisório dentro dos textos seria plantar um erro para colher depois — e obrigaria a corrigir dezenas de passagens uma a uma.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Em vez disso, o número da resolução virou parâmetro. Todos os textos do sistema — os do documento, os das telas de estudo, os das mensagens — citam esse parâmetro, e não o número. Onde antes havia trinta e sete lugares para corrigir, agora há dois campos.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Como preencher</w:t>
      </w:r>
    </w:p>
    <w:p>
      <w:pPr>
        <w:pStyle w:val="ListParagraph"/>
        <w:numPr>
          <w:ilvl w:val="0"/>
          <w:numId w:val="2"/>
        </w:numPr>
        <w:spacing w:after="11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Entre como Órgão Central e escolha "Editar os textos do sistema".</w:t>
      </w:r>
    </w:p>
    <w:p>
      <w:pPr>
        <w:pStyle w:val="ListParagraph"/>
        <w:numPr>
          <w:ilvl w:val="0"/>
          <w:numId w:val="2"/>
        </w:numPr>
        <w:spacing w:after="11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Abra a "Lista completa" e vá ao grupo "Sistemas, listas e parâmetros".</w:t>
      </w:r>
    </w:p>
    <w:p>
      <w:pPr>
        <w:pStyle w:val="ListParagraph"/>
        <w:numPr>
          <w:ilvl w:val="0"/>
          <w:numId w:val="2"/>
        </w:numPr>
        <w:spacing w:after="11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 alto do grupo estão os dois campos da resolução. No primeiro — a citação usada dentro dos textos — escreva a forma curta, exatamente como ela deve aparecer no meio de uma frase: "Resolução SEE nº 5.400, de 12 de março de 2026", por exemplo. É esse texto que o sistema insere onde hoje se lê "[nº a publicar]".</w:t>
      </w:r>
    </w:p>
    <w:p>
      <w:pPr>
        <w:pStyle w:val="ListParagraph"/>
        <w:numPr>
          <w:ilvl w:val="0"/>
          <w:numId w:val="2"/>
        </w:numPr>
        <w:spacing w:after="11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No segundo — a referência da seção 21 — escreva a entrada completa no formato ABNT, seguindo o padrão das demais linhas da lista de referências: autor institucional em maiúsculas, título, ementa, local e ano.</w:t>
      </w:r>
    </w:p>
    <w:p>
      <w:pPr>
        <w:pStyle w:val="ListParagraph"/>
        <w:numPr>
          <w:ilvl w:val="0"/>
          <w:numId w:val="2"/>
        </w:numPr>
        <w:spacing w:after="11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Use "Ver como a escola vê" e confira o documento montado à direita: percorra a seção 9, a subseção 15.1 e a lista de referências. O marcador "[nº a publicar]" não deve mais aparecer em lugar nenhum.</w:t>
      </w:r>
    </w:p>
    <w:p>
      <w:pPr>
        <w:pStyle w:val="ListParagraph"/>
        <w:numPr>
          <w:ilvl w:val="0"/>
          <w:numId w:val="2"/>
        </w:numPr>
        <w:spacing w:after="11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Publique. O aviso amarelo que aparecia no alto da curadoria desaparece — é o sinal de que o preenchimento foi feito.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7.3 O aviso enquanto o campo não é preenchido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Enquanto a citação contiver o marcador "[nº a publicar]", a curadoria mostra um aviso no alto da tela a cada acesso, informando quantos textos fixos do documento dependem daquele preenchimento. O aviso não impede nenhuma outra edição: ele apenas garante que ninguém esqueça.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O marcador também aparece no PPP das escolas — em vinte e sete pontos do documento. Isso é deliberado: um marcador visível é preferível a um número inventado, e nenhuma escola deve concluir um PPP antes que o preenchimento tenha sido feito.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7.4 Quando um artigo mudar de número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A minuta que serviu de base ainda estava em elaboração. Se, no texto publicado, algum artigo tiver numeração diferente, a correção é feita aqui mesmo. O documento "Conformidade da Proposta Pedagógica — v6.5" traz, no capítulo 6, a tabela de todos os artigos citados e o lugar do sistema em que cada um aparece: percorra-a com o texto publicado ao lado e corrija o que for necessário, campo a campo, antes de publicar.</w:t>
      </w:r>
    </w:p>
    <w:p>
      <w:pPr>
        <w:spacing w:after="140" w:line="288"/>
        <w:jc w:val="both"/>
      </w:pPr>
      <w:r>
        <w:rPr>
          <w:rFonts w:ascii="Arial" w:cs="Arial" w:eastAsia="Arial" w:hAnsi="Arial"/>
          <w:sz w:val="22"/>
          <w:szCs w:val="22"/>
        </w:rPr>
        <w:t xml:space="preserve">Vale a mesma regra de sempre: a citação vive dentro do texto que a usa. Não há um campo separado de "artigos" — cada texto fixo carrega os seus, e é nele que a correção é feita.</w:t>
      </w:r>
    </w:p>
    <w:sectPr>
      <w:footerReference w:type="default" r:id="rId7"/>
      <w:pgSz w:w="11906" w:h="16838" w:orient="portrait"/>
      <w:pgMar w:top="1300" w:right="12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Gerador de PPP · Manual da Curadoria de Conteúdo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2026-09-03T19:30:16.920Z</dcterms:created>
  <dcterms:modified xsi:type="dcterms:W3CDTF">2026-09-03T19:30:16.920Z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