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rFonts w:ascii="Arial" w:cs="Arial" w:eastAsia="Arial" w:hAnsi="Arial"/>
          <w:sz w:val="22"/>
          <w:szCs w:val="22"/>
        </w:rPr>
        <w:t xml:space="preserve">Secretaria de Estado de Educação de Minas Gerais</w:t>
      </w:r>
    </w:p>
    <w:p>
      <w:pPr>
        <w:spacing w:after="80"/>
        <w:jc w:val="center"/>
      </w:pPr>
      <w:r>
        <w:rPr>
          <w:rFonts w:ascii="Arial" w:cs="Arial" w:eastAsia="Arial" w:hAnsi="Arial"/>
          <w:b/>
          <w:bCs/>
          <w:sz w:val="36"/>
          <w:szCs w:val="36"/>
        </w:rPr>
        <w:t xml:space="preserve">Relatório de Auditoria</w:t>
      </w:r>
    </w:p>
    <w:p>
      <w:pPr>
        <w:pBdr>
          <w:bottom w:val="single" w:color="BFBFBF" w:sz="4" w:space="8"/>
        </w:pBdr>
        <w:spacing w:after="280"/>
        <w:jc w:val="center"/>
      </w:pPr>
      <w:r>
        <w:rPr>
          <w:rFonts w:ascii="Arial" w:cs="Arial" w:eastAsia="Arial" w:hAnsi="Arial"/>
          <w:sz w:val="26"/>
          <w:szCs w:val="26"/>
        </w:rPr>
        <w:t xml:space="preserve">Gerador de Projeto Político-Pedagógico — versão 8.13</w:t>
      </w:r>
    </w:p>
    <w:p>
      <w:pPr>
        <w:spacing w:after="0"/>
        <w:jc w:val="center"/>
      </w:pPr>
      <w:r>
        <w:rPr>
          <w:rFonts w:ascii="Arial" w:cs="Arial" w:eastAsia="Arial" w:hAnsi="Arial"/>
          <w:sz w:val="22"/>
          <w:szCs w:val="22"/>
        </w:rPr>
        <w:t xml:space="preserve">Setembro de 2026</w:t>
      </w:r>
    </w:p>
    <w:p>
      <w:pPr>
        <w:pStyle w:val="Heading1"/>
        <w:pageBreakBefore/>
        <w:pBdr>
          <w:bottom w:val="single" w:color="BFBFBF" w:sz="4" w:space="6"/>
        </w:pBdr>
        <w:spacing w:after="240" w:before="0"/>
      </w:pPr>
      <w:r>
        <w:rPr>
          <w:rFonts w:ascii="Arial" w:cs="Arial" w:eastAsia="Arial" w:hAnsi="Arial"/>
          <w:b/>
          <w:bCs/>
          <w:color w:val="000000"/>
          <w:sz w:val="28"/>
          <w:szCs w:val="28"/>
        </w:rPr>
        <w:t xml:space="preserve">Sumário executivo</w:t>
      </w:r>
    </w:p>
    <w:p>
      <w:pPr>
        <w:spacing w:after="140" w:line="288"/>
        <w:jc w:val="both"/>
      </w:pPr>
      <w:r>
        <w:rPr>
          <w:rFonts w:ascii="Arial" w:cs="Arial" w:eastAsia="Arial" w:hAnsi="Arial"/>
          <w:sz w:val="22"/>
          <w:szCs w:val="22"/>
        </w:rPr>
        <w:t xml:space="preserve">O Gerador de Projeto Político-Pedagógico foi submetido a uma auditoria técnica do próprio sistema, conduzida de forma adversarial: em vez de confirmar que o sistema funciona, o trabalho procurou, área por área, os caminhos pelos quais ele falha. Foram percorridas oito áreas — da tela de entrada às rotinas que rodam sozinhas no servidor —, e nada foi registrado sem prova capaz de ser refeita por outra pessoa.</w:t>
      </w:r>
    </w:p>
    <w:p>
      <w:pPr>
        <w:spacing w:after="140" w:line="288"/>
        <w:jc w:val="both"/>
      </w:pPr>
      <w:r>
        <w:rPr>
          <w:rFonts w:ascii="Arial" w:cs="Arial" w:eastAsia="Arial" w:hAnsi="Arial"/>
          <w:sz w:val="22"/>
          <w:szCs w:val="22"/>
        </w:rPr>
        <w:t xml:space="preserve">A varredura encontrou 114 problemas, dos quais 21 classificados como críticos. Os mais sérios, ditos sem termos técnicos: um endereço de acesso preparado por terceiros podia executar comandos na sessão de quem o abrisse; a aba de histórico entregava a toda a Superintendência o nome, o e-mail e a identificação do estudante de quem cada membro do Colegiado é responsável; um Diretor Educacional podia rebaixar o Superintendente a membro da própria equipe e, em seguida, removê-lo; a baixa de uma escola prometia encerrar o acesso da direção e não encerrava, de modo que quem fora desligado continuava concluindo e assinando o documento; dois salvamentos simultâneos podiam desfazer a conclusão de um PPP, deixando impresso no PDF um código de autenticidade que a conferência pública negava; a escola podia declarar, pelo próprio navegador, uma homologação da Superintendência que nunca aconteceu; o código de autenticidade podia repetir-se entre documentos diferentes; o PDF perdia 54 das 73 referências do documento e imprimia a folha de assinaturas fora das margens, sem rodapé e sem número de página; e dezoito rotinas internas de manutenção podiam ser acionadas por qualquer visitante do endereço público — inclusive a que troca a senha do Órgão Central.</w:t>
      </w:r>
    </w:p>
    <w:p>
      <w:pPr>
        <w:spacing w:after="140" w:line="288"/>
        <w:jc w:val="both"/>
      </w:pPr>
      <w:r>
        <w:rPr>
          <w:rFonts w:ascii="Arial" w:cs="Arial" w:eastAsia="Arial" w:hAnsi="Arial"/>
          <w:sz w:val="22"/>
          <w:szCs w:val="22"/>
        </w:rPr>
        <w:t xml:space="preserve">Foram feitas 77 correções, organizadas em quatro lotes, e o sistema foi reexaminado duas vezes depois delas por quem havia feito a varredura. Sete regressões apareceram nesse reexame e foram todas fechadas. O pacote entregue traz 2.927 verificações automatizadas, todas em verde, em cinco baterias — uma delas criada nesta versão para medir a paginação num navegador de verdade, que é o único lugar onde os defeitos do documento impresso aparecem. O PDF de exemplo foi conferido página a página, e o sistema foi percorrido nos quatro perfis de acesso e nos oito papéis, em computador e em telefone, sem um único erro de execução.</w:t>
      </w:r>
    </w:p>
    <w:p>
      <w:pPr>
        <w:spacing w:after="140" w:line="288"/>
        <w:jc w:val="both"/>
      </w:pPr>
      <w:r>
        <w:rPr>
          <w:rFonts w:ascii="Arial" w:cs="Arial" w:eastAsia="Arial" w:hAnsi="Arial"/>
          <w:sz w:val="22"/>
          <w:szCs w:val="22"/>
        </w:rPr>
        <w:t xml:space="preserve">O sistema está em condição de uso. Os problemas encontrados foram corrigidos ou declarados: nenhum ficou sem resposta registrada. O que não foi corrigido tem a razão escrita no documento de instalação do pacote, e três desses pontos não são decisões de engenharia — dependem de definição da Secretaria e estão reunidos na seção 6 deste relatório: quantos dígitos da matrícula funcional devem aparecer na folha de assinaturas de um documento público, por quanto tempo o registro de gestores deve guardar os dados que guarda, e se a conferência pública de autenticidade deve continuar anônima. Há ainda uma mudança de rotina de trabalho que atinge as 47 Superintendências e convém constar da comunicação de implantação: a extração de planilhas com dados de servidores passou a ser exclusiva do Órgão Central.</w:t>
      </w:r>
    </w:p>
    <w:p>
      <w:pPr>
        <w:pStyle w:val="Heading1"/>
        <w:pageBreakBefore/>
        <w:pBdr>
          <w:bottom w:val="single" w:color="BFBFBF" w:sz="4" w:space="6"/>
        </w:pBdr>
        <w:spacing w:after="240" w:before="0"/>
      </w:pPr>
      <w:r>
        <w:rPr>
          <w:rFonts w:ascii="Arial" w:cs="Arial" w:eastAsia="Arial" w:hAnsi="Arial"/>
          <w:b/>
          <w:bCs/>
          <w:color w:val="000000"/>
          <w:sz w:val="28"/>
          <w:szCs w:val="28"/>
        </w:rPr>
        <w:t xml:space="preserve">1. Escopo e método</w:t>
      </w:r>
    </w:p>
    <w:p>
      <w:pPr>
        <w:spacing w:after="140" w:line="288"/>
        <w:jc w:val="both"/>
      </w:pPr>
      <w:r>
        <w:rPr>
          <w:rFonts w:ascii="Arial" w:cs="Arial" w:eastAsia="Arial" w:hAnsi="Arial"/>
          <w:sz w:val="22"/>
          <w:szCs w:val="22"/>
        </w:rPr>
        <w:t xml:space="preserve">A auditoria cobriu o pacote completo da versão 8.13 do Gerador de Projeto Político-Pedagógico: o programa do servidor, as telas, a montagem do documento e do PDF, as rotinas agendadas, as cargas em lote e a porta pública de conferência de autenticidade. O trabalho foi conduzido por três papéis separados de propósito, porque a separação é o que dá confiança ao resultado.</w:t>
      </w:r>
    </w:p>
    <w:p>
      <w:pPr>
        <w:spacing w:after="140" w:line="288"/>
        <w:jc w:val="both"/>
      </w:pPr>
      <w:r>
        <w:rPr>
          <w:rFonts w:ascii="Arial" w:cs="Arial" w:eastAsia="Arial" w:hAnsi="Arial"/>
          <w:sz w:val="22"/>
          <w:szCs w:val="22"/>
        </w:rPr>
        <w:t xml:space="preserve">O primeiro papel testa de forma adversarial. Sua tarefa não é confirmar que o sistema funciona, e sim descobrir por onde ele erra: tentar o que um usuário distraído tentaria, o que um usuário mal-intencionado tentaria e o que só acontece quando duas pessoas agem ao mesmo tempo. A regra desse papel é que nada se relata sem prova reproduzível — os passos, o roteiro que os executa, a saída do comando e, quando o defeito é visual, a imagem da tela. Achado sem prova não entra na lista.</w:t>
      </w:r>
    </w:p>
    <w:p>
      <w:pPr>
        <w:spacing w:after="140" w:line="288"/>
        <w:jc w:val="both"/>
      </w:pPr>
      <w:r>
        <w:rPr>
          <w:rFonts w:ascii="Arial" w:cs="Arial" w:eastAsia="Arial" w:hAnsi="Arial"/>
          <w:sz w:val="22"/>
          <w:szCs w:val="22"/>
        </w:rPr>
        <w:t xml:space="preserve">O segundo papel decide a solução. Ele lê cada achado contra o código real, julga se o diagnóstico procede e escolhe o remédio — que nem sempre é o que o testador sugeriu. Em vários pontos a sugestão foi recusada sem que o diagnóstico fosse recusado: ou porque o conserto proposto trocaria um defeito por outro pior, ou porque não é possível no ambiente em que o sistema roda, ou porque empobreceria o documento oficial para satisfazer um critério de conferência. Cada uma dessas recusas está registrada com a razão.</w:t>
      </w:r>
    </w:p>
    <w:p>
      <w:pPr>
        <w:spacing w:after="140" w:line="288"/>
        <w:jc w:val="both"/>
      </w:pPr>
      <w:r>
        <w:rPr>
          <w:rFonts w:ascii="Arial" w:cs="Arial" w:eastAsia="Arial" w:hAnsi="Arial"/>
          <w:sz w:val="22"/>
          <w:szCs w:val="22"/>
        </w:rPr>
        <w:t xml:space="preserve">O terceiro papel implementa, sob uma regra única: nenhuma correção entra sem um teste próprio que falhe sem ela. Cada teste novo foi rodado contra o código defeituoso, onde tem de ficar vermelho, e contra o corrigido, onde tem de ficar verde. Um teste que passa nos dois casos não mede coisa alguma.</w:t>
      </w:r>
    </w:p>
    <w:p>
      <w:pPr>
        <w:spacing w:after="140" w:line="288"/>
        <w:jc w:val="both"/>
      </w:pPr>
      <w:r>
        <w:rPr>
          <w:rFonts w:ascii="Arial" w:cs="Arial" w:eastAsia="Arial" w:hAnsi="Arial"/>
          <w:sz w:val="22"/>
          <w:szCs w:val="22"/>
        </w:rPr>
        <w:t xml:space="preserve">O ciclo se repetiu. Depois dos três primeiros lotes de correção, quem havia feito a varredura voltou a percorrer o sistema inteiro, sem saber o que procurar, e encontrou sete regressões — correções aplicadas num ponto mais largo do que o defeito exigia — e sete pendências. Elas viraram o quarto lote. Ao fim dele houve nova re-verificação completa, que não encontrou nada que impedisse a entrega. Foi aí que o ciclo parou.</w:t>
      </w:r>
    </w:p>
    <w:p>
      <w:pPr>
        <w:pStyle w:val="Heading1"/>
        <w:pageBreakBefore/>
        <w:pBdr>
          <w:bottom w:val="single" w:color="BFBFBF" w:sz="4" w:space="6"/>
        </w:pBdr>
        <w:spacing w:after="240" w:before="0"/>
      </w:pPr>
      <w:r>
        <w:rPr>
          <w:rFonts w:ascii="Arial" w:cs="Arial" w:eastAsia="Arial" w:hAnsi="Arial"/>
          <w:b/>
          <w:bCs/>
          <w:color w:val="000000"/>
          <w:sz w:val="28"/>
          <w:szCs w:val="28"/>
        </w:rPr>
        <w:t xml:space="preserve">2. Quadro geral dos achados</w:t>
      </w:r>
    </w:p>
    <w:p>
      <w:pPr>
        <w:spacing w:after="140" w:line="288"/>
        <w:jc w:val="both"/>
      </w:pPr>
      <w:r>
        <w:rPr>
          <w:rFonts w:ascii="Arial" w:cs="Arial" w:eastAsia="Arial" w:hAnsi="Arial"/>
          <w:sz w:val="22"/>
          <w:szCs w:val="22"/>
        </w:rPr>
        <w:t xml:space="preserve">As oito áreas foram desenhadas por função do sistema, e não por arquivo, de modo que nenhuma delas pudesse ser respondida olhando um trecho isolado de código. A gravidade de cada achado foi atribuída por quem o encontrou e reconferida por quem decidiu a correção.</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4600"/>
        <w:gridCol w:w="900"/>
        <w:gridCol w:w="900"/>
        <w:gridCol w:w="900"/>
        <w:gridCol w:w="900"/>
        <w:gridCol w:w="900"/>
      </w:tblGrid>
      <w:tr>
        <w:tc>
          <w:tcPr>
            <w:tcMar>
              <w:top w:type="dxa" w:w="60"/>
              <w:left w:type="dxa" w:w="120"/>
              <w:bottom w:type="dxa" w:w="60"/>
              <w:right w:type="dxa" w:w="120"/>
            </w:tcMar>
          </w:tcPr>
          <w:p>
            <w:pPr>
              <w:spacing w:after="0" w:line="264"/>
              <w:jc w:val="left"/>
            </w:pPr>
            <w:r>
              <w:rPr>
                <w:rFonts w:ascii="Arial" w:cs="Arial" w:eastAsia="Arial" w:hAnsi="Arial"/>
                <w:b/>
                <w:bCs/>
                <w:sz w:val="20"/>
                <w:szCs w:val="20"/>
              </w:rPr>
              <w:t xml:space="preserve">Área</w:t>
            </w:r>
          </w:p>
        </w:tc>
        <w:tc>
          <w:tcPr>
            <w:tcMar>
              <w:top w:type="dxa" w:w="60"/>
              <w:left w:type="dxa" w:w="120"/>
              <w:bottom w:type="dxa" w:w="60"/>
              <w:right w:type="dxa" w:w="120"/>
            </w:tcMar>
          </w:tcPr>
          <w:p>
            <w:pPr>
              <w:spacing w:after="0" w:line="264"/>
              <w:jc w:val="center"/>
            </w:pPr>
            <w:r>
              <w:rPr>
                <w:rFonts w:ascii="Arial" w:cs="Arial" w:eastAsia="Arial" w:hAnsi="Arial"/>
                <w:b/>
                <w:bCs/>
                <w:sz w:val="20"/>
                <w:szCs w:val="20"/>
              </w:rPr>
              <w:t xml:space="preserve">Críticos</w:t>
            </w:r>
          </w:p>
        </w:tc>
        <w:tc>
          <w:tcPr>
            <w:tcMar>
              <w:top w:type="dxa" w:w="60"/>
              <w:left w:type="dxa" w:w="120"/>
              <w:bottom w:type="dxa" w:w="60"/>
              <w:right w:type="dxa" w:w="120"/>
            </w:tcMar>
          </w:tcPr>
          <w:p>
            <w:pPr>
              <w:spacing w:after="0" w:line="264"/>
              <w:jc w:val="center"/>
            </w:pPr>
            <w:r>
              <w:rPr>
                <w:rFonts w:ascii="Arial" w:cs="Arial" w:eastAsia="Arial" w:hAnsi="Arial"/>
                <w:b/>
                <w:bCs/>
                <w:sz w:val="20"/>
                <w:szCs w:val="20"/>
              </w:rPr>
              <w:t xml:space="preserve">Altos</w:t>
            </w:r>
          </w:p>
        </w:tc>
        <w:tc>
          <w:tcPr>
            <w:tcMar>
              <w:top w:type="dxa" w:w="60"/>
              <w:left w:type="dxa" w:w="120"/>
              <w:bottom w:type="dxa" w:w="60"/>
              <w:right w:type="dxa" w:w="120"/>
            </w:tcMar>
          </w:tcPr>
          <w:p>
            <w:pPr>
              <w:spacing w:after="0" w:line="264"/>
              <w:jc w:val="center"/>
            </w:pPr>
            <w:r>
              <w:rPr>
                <w:rFonts w:ascii="Arial" w:cs="Arial" w:eastAsia="Arial" w:hAnsi="Arial"/>
                <w:b/>
                <w:bCs/>
                <w:sz w:val="20"/>
                <w:szCs w:val="20"/>
              </w:rPr>
              <w:t xml:space="preserve">Médios</w:t>
            </w:r>
          </w:p>
        </w:tc>
        <w:tc>
          <w:tcPr>
            <w:tcMar>
              <w:top w:type="dxa" w:w="60"/>
              <w:left w:type="dxa" w:w="120"/>
              <w:bottom w:type="dxa" w:w="60"/>
              <w:right w:type="dxa" w:w="120"/>
            </w:tcMar>
          </w:tcPr>
          <w:p>
            <w:pPr>
              <w:spacing w:after="0" w:line="264"/>
              <w:jc w:val="center"/>
            </w:pPr>
            <w:r>
              <w:rPr>
                <w:rFonts w:ascii="Arial" w:cs="Arial" w:eastAsia="Arial" w:hAnsi="Arial"/>
                <w:b/>
                <w:bCs/>
                <w:sz w:val="20"/>
                <w:szCs w:val="20"/>
              </w:rPr>
              <w:t xml:space="preserve">Baixos</w:t>
            </w:r>
          </w:p>
        </w:tc>
        <w:tc>
          <w:tcPr>
            <w:tcMar>
              <w:top w:type="dxa" w:w="60"/>
              <w:left w:type="dxa" w:w="120"/>
              <w:bottom w:type="dxa" w:w="60"/>
              <w:right w:type="dxa" w:w="120"/>
            </w:tcMar>
          </w:tcPr>
          <w:p>
            <w:pPr>
              <w:spacing w:after="0" w:line="264"/>
              <w:jc w:val="center"/>
            </w:pPr>
            <w:r>
              <w:rPr>
                <w:rFonts w:ascii="Arial" w:cs="Arial" w:eastAsia="Arial" w:hAnsi="Arial"/>
                <w:b/>
                <w:bCs/>
                <w:sz w:val="20"/>
                <w:szCs w:val="20"/>
              </w:rPr>
              <w:t xml:space="preserve">Total</w:t>
            </w:r>
          </w:p>
        </w:tc>
      </w:tr>
      <w:tr>
        <w:tc>
          <w:tcPr>
            <w:tcMar>
              <w:top w:type="dxa" w:w="60"/>
              <w:left w:type="dxa" w:w="120"/>
              <w:bottom w:type="dxa" w:w="60"/>
              <w:right w:type="dxa" w:w="120"/>
            </w:tcMar>
          </w:tcPr>
          <w:p>
            <w:pPr>
              <w:spacing w:after="0" w:line="264"/>
              <w:jc w:val="left"/>
            </w:pPr>
            <w:r>
              <w:rPr>
                <w:rFonts w:ascii="Arial" w:cs="Arial" w:eastAsia="Arial" w:hAnsi="Arial"/>
                <w:sz w:val="20"/>
                <w:szCs w:val="20"/>
              </w:rPr>
              <w:t xml:space="preserve">1. Abertura, sessão e autenticação</w:t>
            </w:r>
          </w:p>
        </w:tc>
        <w:tc>
          <w:tcPr>
            <w:tcMar>
              <w:top w:type="dxa" w:w="60"/>
              <w:left w:type="dxa" w:w="120"/>
              <w:bottom w:type="dxa" w:w="60"/>
              <w:right w:type="dxa" w:w="120"/>
            </w:tcMar>
          </w:tcPr>
          <w:p>
            <w:pPr>
              <w:spacing w:after="0" w:line="264"/>
              <w:jc w:val="center"/>
            </w:pPr>
            <w:r>
              <w:rPr>
                <w:rFonts w:ascii="Arial" w:cs="Arial" w:eastAsia="Arial" w:hAnsi="Arial"/>
                <w:sz w:val="20"/>
                <w:szCs w:val="20"/>
              </w:rPr>
              <w:t xml:space="preserve">1</w:t>
            </w:r>
          </w:p>
        </w:tc>
        <w:tc>
          <w:tcPr>
            <w:tcMar>
              <w:top w:type="dxa" w:w="60"/>
              <w:left w:type="dxa" w:w="120"/>
              <w:bottom w:type="dxa" w:w="60"/>
              <w:right w:type="dxa" w:w="120"/>
            </w:tcMar>
          </w:tcPr>
          <w:p>
            <w:pPr>
              <w:spacing w:after="0" w:line="264"/>
              <w:jc w:val="center"/>
            </w:pPr>
            <w:r>
              <w:rPr>
                <w:rFonts w:ascii="Arial" w:cs="Arial" w:eastAsia="Arial" w:hAnsi="Arial"/>
                <w:sz w:val="20"/>
                <w:szCs w:val="20"/>
              </w:rPr>
              <w:t xml:space="preserve">1</w:t>
            </w:r>
          </w:p>
        </w:tc>
        <w:tc>
          <w:tcPr>
            <w:tcMar>
              <w:top w:type="dxa" w:w="60"/>
              <w:left w:type="dxa" w:w="120"/>
              <w:bottom w:type="dxa" w:w="60"/>
              <w:right w:type="dxa" w:w="120"/>
            </w:tcMar>
          </w:tcPr>
          <w:p>
            <w:pPr>
              <w:spacing w:after="0" w:line="264"/>
              <w:jc w:val="center"/>
            </w:pPr>
            <w:r>
              <w:rPr>
                <w:rFonts w:ascii="Arial" w:cs="Arial" w:eastAsia="Arial" w:hAnsi="Arial"/>
                <w:sz w:val="20"/>
                <w:szCs w:val="20"/>
              </w:rPr>
              <w:t xml:space="preserve">2</w:t>
            </w:r>
          </w:p>
        </w:tc>
        <w:tc>
          <w:tcPr>
            <w:tcMar>
              <w:top w:type="dxa" w:w="60"/>
              <w:left w:type="dxa" w:w="120"/>
              <w:bottom w:type="dxa" w:w="60"/>
              <w:right w:type="dxa" w:w="120"/>
            </w:tcMar>
          </w:tcPr>
          <w:p>
            <w:pPr>
              <w:spacing w:after="0" w:line="264"/>
              <w:jc w:val="center"/>
            </w:pPr>
            <w:r>
              <w:rPr>
                <w:rFonts w:ascii="Arial" w:cs="Arial" w:eastAsia="Arial" w:hAnsi="Arial"/>
                <w:sz w:val="20"/>
                <w:szCs w:val="20"/>
              </w:rPr>
              <w:t xml:space="preserve">—</w:t>
            </w:r>
          </w:p>
        </w:tc>
        <w:tc>
          <w:tcPr>
            <w:tcMar>
              <w:top w:type="dxa" w:w="60"/>
              <w:left w:type="dxa" w:w="120"/>
              <w:bottom w:type="dxa" w:w="60"/>
              <w:right w:type="dxa" w:w="120"/>
            </w:tcMar>
          </w:tcPr>
          <w:p>
            <w:pPr>
              <w:spacing w:after="0" w:line="264"/>
              <w:jc w:val="center"/>
            </w:pPr>
            <w:r>
              <w:rPr>
                <w:rFonts w:ascii="Arial" w:cs="Arial" w:eastAsia="Arial" w:hAnsi="Arial"/>
                <w:b/>
                <w:bCs/>
                <w:sz w:val="20"/>
                <w:szCs w:val="20"/>
              </w:rPr>
              <w:t xml:space="preserve">4</w:t>
            </w:r>
          </w:p>
        </w:tc>
      </w:tr>
      <w:tr>
        <w:tc>
          <w:tcPr>
            <w:tcMar>
              <w:top w:type="dxa" w:w="60"/>
              <w:left w:type="dxa" w:w="120"/>
              <w:bottom w:type="dxa" w:w="60"/>
              <w:right w:type="dxa" w:w="120"/>
            </w:tcMar>
          </w:tcPr>
          <w:p>
            <w:pPr>
              <w:spacing w:after="0" w:line="264"/>
              <w:jc w:val="left"/>
            </w:pPr>
            <w:r>
              <w:rPr>
                <w:rFonts w:ascii="Arial" w:cs="Arial" w:eastAsia="Arial" w:hAnsi="Arial"/>
                <w:sz w:val="20"/>
                <w:szCs w:val="20"/>
              </w:rPr>
              <w:t xml:space="preserve">2. Cadastro de acessos, cascata de papéis e histórico</w:t>
            </w:r>
          </w:p>
        </w:tc>
        <w:tc>
          <w:tcPr>
            <w:tcMar>
              <w:top w:type="dxa" w:w="60"/>
              <w:left w:type="dxa" w:w="120"/>
              <w:bottom w:type="dxa" w:w="60"/>
              <w:right w:type="dxa" w:w="120"/>
            </w:tcMar>
          </w:tcPr>
          <w:p>
            <w:pPr>
              <w:spacing w:after="0" w:line="264"/>
              <w:jc w:val="center"/>
            </w:pPr>
            <w:r>
              <w:rPr>
                <w:rFonts w:ascii="Arial" w:cs="Arial" w:eastAsia="Arial" w:hAnsi="Arial"/>
                <w:sz w:val="20"/>
                <w:szCs w:val="20"/>
              </w:rPr>
              <w:t xml:space="preserve">3</w:t>
            </w:r>
          </w:p>
        </w:tc>
        <w:tc>
          <w:tcPr>
            <w:tcMar>
              <w:top w:type="dxa" w:w="60"/>
              <w:left w:type="dxa" w:w="120"/>
              <w:bottom w:type="dxa" w:w="60"/>
              <w:right w:type="dxa" w:w="120"/>
            </w:tcMar>
          </w:tcPr>
          <w:p>
            <w:pPr>
              <w:spacing w:after="0" w:line="264"/>
              <w:jc w:val="center"/>
            </w:pPr>
            <w:r>
              <w:rPr>
                <w:rFonts w:ascii="Arial" w:cs="Arial" w:eastAsia="Arial" w:hAnsi="Arial"/>
                <w:sz w:val="20"/>
                <w:szCs w:val="20"/>
              </w:rPr>
              <w:t xml:space="preserve">2</w:t>
            </w:r>
          </w:p>
        </w:tc>
        <w:tc>
          <w:tcPr>
            <w:tcMar>
              <w:top w:type="dxa" w:w="60"/>
              <w:left w:type="dxa" w:w="120"/>
              <w:bottom w:type="dxa" w:w="60"/>
              <w:right w:type="dxa" w:w="120"/>
            </w:tcMar>
          </w:tcPr>
          <w:p>
            <w:pPr>
              <w:spacing w:after="0" w:line="264"/>
              <w:jc w:val="center"/>
            </w:pPr>
            <w:r>
              <w:rPr>
                <w:rFonts w:ascii="Arial" w:cs="Arial" w:eastAsia="Arial" w:hAnsi="Arial"/>
                <w:sz w:val="20"/>
                <w:szCs w:val="20"/>
              </w:rPr>
              <w:t xml:space="preserve">3</w:t>
            </w:r>
          </w:p>
        </w:tc>
        <w:tc>
          <w:tcPr>
            <w:tcMar>
              <w:top w:type="dxa" w:w="60"/>
              <w:left w:type="dxa" w:w="120"/>
              <w:bottom w:type="dxa" w:w="60"/>
              <w:right w:type="dxa" w:w="120"/>
            </w:tcMar>
          </w:tcPr>
          <w:p>
            <w:pPr>
              <w:spacing w:after="0" w:line="264"/>
              <w:jc w:val="center"/>
            </w:pPr>
            <w:r>
              <w:rPr>
                <w:rFonts w:ascii="Arial" w:cs="Arial" w:eastAsia="Arial" w:hAnsi="Arial"/>
                <w:sz w:val="20"/>
                <w:szCs w:val="20"/>
              </w:rPr>
              <w:t xml:space="preserve">2</w:t>
            </w:r>
          </w:p>
        </w:tc>
        <w:tc>
          <w:tcPr>
            <w:tcMar>
              <w:top w:type="dxa" w:w="60"/>
              <w:left w:type="dxa" w:w="120"/>
              <w:bottom w:type="dxa" w:w="60"/>
              <w:right w:type="dxa" w:w="120"/>
            </w:tcMar>
          </w:tcPr>
          <w:p>
            <w:pPr>
              <w:spacing w:after="0" w:line="264"/>
              <w:jc w:val="center"/>
            </w:pPr>
            <w:r>
              <w:rPr>
                <w:rFonts w:ascii="Arial" w:cs="Arial" w:eastAsia="Arial" w:hAnsi="Arial"/>
                <w:b/>
                <w:bCs/>
                <w:sz w:val="20"/>
                <w:szCs w:val="20"/>
              </w:rPr>
              <w:t xml:space="preserve">10</w:t>
            </w:r>
          </w:p>
        </w:tc>
      </w:tr>
      <w:tr>
        <w:tc>
          <w:tcPr>
            <w:tcMar>
              <w:top w:type="dxa" w:w="60"/>
              <w:left w:type="dxa" w:w="120"/>
              <w:bottom w:type="dxa" w:w="60"/>
              <w:right w:type="dxa" w:w="120"/>
            </w:tcMar>
          </w:tcPr>
          <w:p>
            <w:pPr>
              <w:spacing w:after="0" w:line="264"/>
              <w:jc w:val="left"/>
            </w:pPr>
            <w:r>
              <w:rPr>
                <w:rFonts w:ascii="Arial" w:cs="Arial" w:eastAsia="Arial" w:hAnsi="Arial"/>
                <w:sz w:val="20"/>
                <w:szCs w:val="20"/>
              </w:rPr>
              <w:t xml:space="preserve">3. Base da rede: escolas, cargas e vínculo do documento</w:t>
            </w:r>
          </w:p>
        </w:tc>
        <w:tc>
          <w:tcPr>
            <w:tcMar>
              <w:top w:type="dxa" w:w="60"/>
              <w:left w:type="dxa" w:w="120"/>
              <w:bottom w:type="dxa" w:w="60"/>
              <w:right w:type="dxa" w:w="120"/>
            </w:tcMar>
          </w:tcPr>
          <w:p>
            <w:pPr>
              <w:spacing w:after="0" w:line="264"/>
              <w:jc w:val="center"/>
            </w:pPr>
            <w:r>
              <w:rPr>
                <w:rFonts w:ascii="Arial" w:cs="Arial" w:eastAsia="Arial" w:hAnsi="Arial"/>
                <w:sz w:val="20"/>
                <w:szCs w:val="20"/>
              </w:rPr>
              <w:t xml:space="preserve">4</w:t>
            </w:r>
          </w:p>
        </w:tc>
        <w:tc>
          <w:tcPr>
            <w:tcMar>
              <w:top w:type="dxa" w:w="60"/>
              <w:left w:type="dxa" w:w="120"/>
              <w:bottom w:type="dxa" w:w="60"/>
              <w:right w:type="dxa" w:w="120"/>
            </w:tcMar>
          </w:tcPr>
          <w:p>
            <w:pPr>
              <w:spacing w:after="0" w:line="264"/>
              <w:jc w:val="center"/>
            </w:pPr>
            <w:r>
              <w:rPr>
                <w:rFonts w:ascii="Arial" w:cs="Arial" w:eastAsia="Arial" w:hAnsi="Arial"/>
                <w:sz w:val="20"/>
                <w:szCs w:val="20"/>
              </w:rPr>
              <w:t xml:space="preserve">6</w:t>
            </w:r>
          </w:p>
        </w:tc>
        <w:tc>
          <w:tcPr>
            <w:tcMar>
              <w:top w:type="dxa" w:w="60"/>
              <w:left w:type="dxa" w:w="120"/>
              <w:bottom w:type="dxa" w:w="60"/>
              <w:right w:type="dxa" w:w="120"/>
            </w:tcMar>
          </w:tcPr>
          <w:p>
            <w:pPr>
              <w:spacing w:after="0" w:line="264"/>
              <w:jc w:val="center"/>
            </w:pPr>
            <w:r>
              <w:rPr>
                <w:rFonts w:ascii="Arial" w:cs="Arial" w:eastAsia="Arial" w:hAnsi="Arial"/>
                <w:sz w:val="20"/>
                <w:szCs w:val="20"/>
              </w:rPr>
              <w:t xml:space="preserve">6</w:t>
            </w:r>
          </w:p>
        </w:tc>
        <w:tc>
          <w:tcPr>
            <w:tcMar>
              <w:top w:type="dxa" w:w="60"/>
              <w:left w:type="dxa" w:w="120"/>
              <w:bottom w:type="dxa" w:w="60"/>
              <w:right w:type="dxa" w:w="120"/>
            </w:tcMar>
          </w:tcPr>
          <w:p>
            <w:pPr>
              <w:spacing w:after="0" w:line="264"/>
              <w:jc w:val="center"/>
            </w:pPr>
            <w:r>
              <w:rPr>
                <w:rFonts w:ascii="Arial" w:cs="Arial" w:eastAsia="Arial" w:hAnsi="Arial"/>
                <w:sz w:val="20"/>
                <w:szCs w:val="20"/>
              </w:rPr>
              <w:t xml:space="preserve">1</w:t>
            </w:r>
          </w:p>
        </w:tc>
        <w:tc>
          <w:tcPr>
            <w:tcMar>
              <w:top w:type="dxa" w:w="60"/>
              <w:left w:type="dxa" w:w="120"/>
              <w:bottom w:type="dxa" w:w="60"/>
              <w:right w:type="dxa" w:w="120"/>
            </w:tcMar>
          </w:tcPr>
          <w:p>
            <w:pPr>
              <w:spacing w:after="0" w:line="264"/>
              <w:jc w:val="center"/>
            </w:pPr>
            <w:r>
              <w:rPr>
                <w:rFonts w:ascii="Arial" w:cs="Arial" w:eastAsia="Arial" w:hAnsi="Arial"/>
                <w:b/>
                <w:bCs/>
                <w:sz w:val="20"/>
                <w:szCs w:val="20"/>
              </w:rPr>
              <w:t xml:space="preserve">17</w:t>
            </w:r>
          </w:p>
        </w:tc>
      </w:tr>
      <w:tr>
        <w:tc>
          <w:tcPr>
            <w:tcMar>
              <w:top w:type="dxa" w:w="60"/>
              <w:left w:type="dxa" w:w="120"/>
              <w:bottom w:type="dxa" w:w="60"/>
              <w:right w:type="dxa" w:w="120"/>
            </w:tcMar>
          </w:tcPr>
          <w:p>
            <w:pPr>
              <w:spacing w:after="0" w:line="264"/>
              <w:jc w:val="left"/>
            </w:pPr>
            <w:r>
              <w:rPr>
                <w:rFonts w:ascii="Arial" w:cs="Arial" w:eastAsia="Arial" w:hAnsi="Arial"/>
                <w:sz w:val="20"/>
                <w:szCs w:val="20"/>
              </w:rPr>
              <w:t xml:space="preserve">4. Elaboração do PPP: texto, rascunho e conferência final</w:t>
            </w:r>
          </w:p>
        </w:tc>
        <w:tc>
          <w:tcPr>
            <w:tcMar>
              <w:top w:type="dxa" w:w="60"/>
              <w:left w:type="dxa" w:w="120"/>
              <w:bottom w:type="dxa" w:w="60"/>
              <w:right w:type="dxa" w:w="120"/>
            </w:tcMar>
          </w:tcPr>
          <w:p>
            <w:pPr>
              <w:spacing w:after="0" w:line="264"/>
              <w:jc w:val="center"/>
            </w:pPr>
            <w:r>
              <w:rPr>
                <w:rFonts w:ascii="Arial" w:cs="Arial" w:eastAsia="Arial" w:hAnsi="Arial"/>
                <w:sz w:val="20"/>
                <w:szCs w:val="20"/>
              </w:rPr>
              <w:t xml:space="preserve">1</w:t>
            </w:r>
          </w:p>
        </w:tc>
        <w:tc>
          <w:tcPr>
            <w:tcMar>
              <w:top w:type="dxa" w:w="60"/>
              <w:left w:type="dxa" w:w="120"/>
              <w:bottom w:type="dxa" w:w="60"/>
              <w:right w:type="dxa" w:w="120"/>
            </w:tcMar>
          </w:tcPr>
          <w:p>
            <w:pPr>
              <w:spacing w:after="0" w:line="264"/>
              <w:jc w:val="center"/>
            </w:pPr>
            <w:r>
              <w:rPr>
                <w:rFonts w:ascii="Arial" w:cs="Arial" w:eastAsia="Arial" w:hAnsi="Arial"/>
                <w:sz w:val="20"/>
                <w:szCs w:val="20"/>
              </w:rPr>
              <w:t xml:space="preserve">6</w:t>
            </w:r>
          </w:p>
        </w:tc>
        <w:tc>
          <w:tcPr>
            <w:tcMar>
              <w:top w:type="dxa" w:w="60"/>
              <w:left w:type="dxa" w:w="120"/>
              <w:bottom w:type="dxa" w:w="60"/>
              <w:right w:type="dxa" w:w="120"/>
            </w:tcMar>
          </w:tcPr>
          <w:p>
            <w:pPr>
              <w:spacing w:after="0" w:line="264"/>
              <w:jc w:val="center"/>
            </w:pPr>
            <w:r>
              <w:rPr>
                <w:rFonts w:ascii="Arial" w:cs="Arial" w:eastAsia="Arial" w:hAnsi="Arial"/>
                <w:sz w:val="20"/>
                <w:szCs w:val="20"/>
              </w:rPr>
              <w:t xml:space="preserve">4</w:t>
            </w:r>
          </w:p>
        </w:tc>
        <w:tc>
          <w:tcPr>
            <w:tcMar>
              <w:top w:type="dxa" w:w="60"/>
              <w:left w:type="dxa" w:w="120"/>
              <w:bottom w:type="dxa" w:w="60"/>
              <w:right w:type="dxa" w:w="120"/>
            </w:tcMar>
          </w:tcPr>
          <w:p>
            <w:pPr>
              <w:spacing w:after="0" w:line="264"/>
              <w:jc w:val="center"/>
            </w:pPr>
            <w:r>
              <w:rPr>
                <w:rFonts w:ascii="Arial" w:cs="Arial" w:eastAsia="Arial" w:hAnsi="Arial"/>
                <w:sz w:val="20"/>
                <w:szCs w:val="20"/>
              </w:rPr>
              <w:t xml:space="preserve">3</w:t>
            </w:r>
          </w:p>
        </w:tc>
        <w:tc>
          <w:tcPr>
            <w:tcMar>
              <w:top w:type="dxa" w:w="60"/>
              <w:left w:type="dxa" w:w="120"/>
              <w:bottom w:type="dxa" w:w="60"/>
              <w:right w:type="dxa" w:w="120"/>
            </w:tcMar>
          </w:tcPr>
          <w:p>
            <w:pPr>
              <w:spacing w:after="0" w:line="264"/>
              <w:jc w:val="center"/>
            </w:pPr>
            <w:r>
              <w:rPr>
                <w:rFonts w:ascii="Arial" w:cs="Arial" w:eastAsia="Arial" w:hAnsi="Arial"/>
                <w:b/>
                <w:bCs/>
                <w:sz w:val="20"/>
                <w:szCs w:val="20"/>
              </w:rPr>
              <w:t xml:space="preserve">14</w:t>
            </w:r>
          </w:p>
        </w:tc>
      </w:tr>
      <w:tr>
        <w:tc>
          <w:tcPr>
            <w:tcMar>
              <w:top w:type="dxa" w:w="60"/>
              <w:left w:type="dxa" w:w="120"/>
              <w:bottom w:type="dxa" w:w="60"/>
              <w:right w:type="dxa" w:w="120"/>
            </w:tcMar>
          </w:tcPr>
          <w:p>
            <w:pPr>
              <w:spacing w:after="0" w:line="264"/>
              <w:jc w:val="left"/>
            </w:pPr>
            <w:r>
              <w:rPr>
                <w:rFonts w:ascii="Arial" w:cs="Arial" w:eastAsia="Arial" w:hAnsi="Arial"/>
                <w:sz w:val="20"/>
                <w:szCs w:val="20"/>
              </w:rPr>
              <w:t xml:space="preserve">5. Ciclo do documento: conclusão, assinatura e homologação</w:t>
            </w:r>
          </w:p>
        </w:tc>
        <w:tc>
          <w:tcPr>
            <w:tcMar>
              <w:top w:type="dxa" w:w="60"/>
              <w:left w:type="dxa" w:w="120"/>
              <w:bottom w:type="dxa" w:w="60"/>
              <w:right w:type="dxa" w:w="120"/>
            </w:tcMar>
          </w:tcPr>
          <w:p>
            <w:pPr>
              <w:spacing w:after="0" w:line="264"/>
              <w:jc w:val="center"/>
            </w:pPr>
            <w:r>
              <w:rPr>
                <w:rFonts w:ascii="Arial" w:cs="Arial" w:eastAsia="Arial" w:hAnsi="Arial"/>
                <w:sz w:val="20"/>
                <w:szCs w:val="20"/>
              </w:rPr>
              <w:t xml:space="preserve">4</w:t>
            </w:r>
          </w:p>
        </w:tc>
        <w:tc>
          <w:tcPr>
            <w:tcMar>
              <w:top w:type="dxa" w:w="60"/>
              <w:left w:type="dxa" w:w="120"/>
              <w:bottom w:type="dxa" w:w="60"/>
              <w:right w:type="dxa" w:w="120"/>
            </w:tcMar>
          </w:tcPr>
          <w:p>
            <w:pPr>
              <w:spacing w:after="0" w:line="264"/>
              <w:jc w:val="center"/>
            </w:pPr>
            <w:r>
              <w:rPr>
                <w:rFonts w:ascii="Arial" w:cs="Arial" w:eastAsia="Arial" w:hAnsi="Arial"/>
                <w:sz w:val="20"/>
                <w:szCs w:val="20"/>
              </w:rPr>
              <w:t xml:space="preserve">5</w:t>
            </w:r>
          </w:p>
        </w:tc>
        <w:tc>
          <w:tcPr>
            <w:tcMar>
              <w:top w:type="dxa" w:w="60"/>
              <w:left w:type="dxa" w:w="120"/>
              <w:bottom w:type="dxa" w:w="60"/>
              <w:right w:type="dxa" w:w="120"/>
            </w:tcMar>
          </w:tcPr>
          <w:p>
            <w:pPr>
              <w:spacing w:after="0" w:line="264"/>
              <w:jc w:val="center"/>
            </w:pPr>
            <w:r>
              <w:rPr>
                <w:rFonts w:ascii="Arial" w:cs="Arial" w:eastAsia="Arial" w:hAnsi="Arial"/>
                <w:sz w:val="20"/>
                <w:szCs w:val="20"/>
              </w:rPr>
              <w:t xml:space="preserve">5</w:t>
            </w:r>
          </w:p>
        </w:tc>
        <w:tc>
          <w:tcPr>
            <w:tcMar>
              <w:top w:type="dxa" w:w="60"/>
              <w:left w:type="dxa" w:w="120"/>
              <w:bottom w:type="dxa" w:w="60"/>
              <w:right w:type="dxa" w:w="120"/>
            </w:tcMar>
          </w:tcPr>
          <w:p>
            <w:pPr>
              <w:spacing w:after="0" w:line="264"/>
              <w:jc w:val="center"/>
            </w:pPr>
            <w:r>
              <w:rPr>
                <w:rFonts w:ascii="Arial" w:cs="Arial" w:eastAsia="Arial" w:hAnsi="Arial"/>
                <w:sz w:val="20"/>
                <w:szCs w:val="20"/>
              </w:rPr>
              <w:t xml:space="preserve">3</w:t>
            </w:r>
          </w:p>
        </w:tc>
        <w:tc>
          <w:tcPr>
            <w:tcMar>
              <w:top w:type="dxa" w:w="60"/>
              <w:left w:type="dxa" w:w="120"/>
              <w:bottom w:type="dxa" w:w="60"/>
              <w:right w:type="dxa" w:w="120"/>
            </w:tcMar>
          </w:tcPr>
          <w:p>
            <w:pPr>
              <w:spacing w:after="0" w:line="264"/>
              <w:jc w:val="center"/>
            </w:pPr>
            <w:r>
              <w:rPr>
                <w:rFonts w:ascii="Arial" w:cs="Arial" w:eastAsia="Arial" w:hAnsi="Arial"/>
                <w:b/>
                <w:bCs/>
                <w:sz w:val="20"/>
                <w:szCs w:val="20"/>
              </w:rPr>
              <w:t xml:space="preserve">17</w:t>
            </w:r>
          </w:p>
        </w:tc>
      </w:tr>
      <w:tr>
        <w:tc>
          <w:tcPr>
            <w:tcMar>
              <w:top w:type="dxa" w:w="60"/>
              <w:left w:type="dxa" w:w="120"/>
              <w:bottom w:type="dxa" w:w="60"/>
              <w:right w:type="dxa" w:w="120"/>
            </w:tcMar>
          </w:tcPr>
          <w:p>
            <w:pPr>
              <w:spacing w:after="0" w:line="264"/>
              <w:jc w:val="left"/>
            </w:pPr>
            <w:r>
              <w:rPr>
                <w:rFonts w:ascii="Arial" w:cs="Arial" w:eastAsia="Arial" w:hAnsi="Arial"/>
                <w:sz w:val="20"/>
                <w:szCs w:val="20"/>
              </w:rPr>
              <w:t xml:space="preserve">6. Montagem do documento e geração do PDF</w:t>
            </w:r>
          </w:p>
        </w:tc>
        <w:tc>
          <w:tcPr>
            <w:tcMar>
              <w:top w:type="dxa" w:w="60"/>
              <w:left w:type="dxa" w:w="120"/>
              <w:bottom w:type="dxa" w:w="60"/>
              <w:right w:type="dxa" w:w="120"/>
            </w:tcMar>
          </w:tcPr>
          <w:p>
            <w:pPr>
              <w:spacing w:after="0" w:line="264"/>
              <w:jc w:val="center"/>
            </w:pPr>
            <w:r>
              <w:rPr>
                <w:rFonts w:ascii="Arial" w:cs="Arial" w:eastAsia="Arial" w:hAnsi="Arial"/>
                <w:sz w:val="20"/>
                <w:szCs w:val="20"/>
              </w:rPr>
              <w:t xml:space="preserve">4</w:t>
            </w:r>
          </w:p>
        </w:tc>
        <w:tc>
          <w:tcPr>
            <w:tcMar>
              <w:top w:type="dxa" w:w="60"/>
              <w:left w:type="dxa" w:w="120"/>
              <w:bottom w:type="dxa" w:w="60"/>
              <w:right w:type="dxa" w:w="120"/>
            </w:tcMar>
          </w:tcPr>
          <w:p>
            <w:pPr>
              <w:spacing w:after="0" w:line="264"/>
              <w:jc w:val="center"/>
            </w:pPr>
            <w:r>
              <w:rPr>
                <w:rFonts w:ascii="Arial" w:cs="Arial" w:eastAsia="Arial" w:hAnsi="Arial"/>
                <w:sz w:val="20"/>
                <w:szCs w:val="20"/>
              </w:rPr>
              <w:t xml:space="preserve">2</w:t>
            </w:r>
          </w:p>
        </w:tc>
        <w:tc>
          <w:tcPr>
            <w:tcMar>
              <w:top w:type="dxa" w:w="60"/>
              <w:left w:type="dxa" w:w="120"/>
              <w:bottom w:type="dxa" w:w="60"/>
              <w:right w:type="dxa" w:w="120"/>
            </w:tcMar>
          </w:tcPr>
          <w:p>
            <w:pPr>
              <w:spacing w:after="0" w:line="264"/>
              <w:jc w:val="center"/>
            </w:pPr>
            <w:r>
              <w:rPr>
                <w:rFonts w:ascii="Arial" w:cs="Arial" w:eastAsia="Arial" w:hAnsi="Arial"/>
                <w:sz w:val="20"/>
                <w:szCs w:val="20"/>
              </w:rPr>
              <w:t xml:space="preserve">5</w:t>
            </w:r>
          </w:p>
        </w:tc>
        <w:tc>
          <w:tcPr>
            <w:tcMar>
              <w:top w:type="dxa" w:w="60"/>
              <w:left w:type="dxa" w:w="120"/>
              <w:bottom w:type="dxa" w:w="60"/>
              <w:right w:type="dxa" w:w="120"/>
            </w:tcMar>
          </w:tcPr>
          <w:p>
            <w:pPr>
              <w:spacing w:after="0" w:line="264"/>
              <w:jc w:val="center"/>
            </w:pPr>
            <w:r>
              <w:rPr>
                <w:rFonts w:ascii="Arial" w:cs="Arial" w:eastAsia="Arial" w:hAnsi="Arial"/>
                <w:sz w:val="20"/>
                <w:szCs w:val="20"/>
              </w:rPr>
              <w:t xml:space="preserve">2</w:t>
            </w:r>
          </w:p>
        </w:tc>
        <w:tc>
          <w:tcPr>
            <w:tcMar>
              <w:top w:type="dxa" w:w="60"/>
              <w:left w:type="dxa" w:w="120"/>
              <w:bottom w:type="dxa" w:w="60"/>
              <w:right w:type="dxa" w:w="120"/>
            </w:tcMar>
          </w:tcPr>
          <w:p>
            <w:pPr>
              <w:spacing w:after="0" w:line="264"/>
              <w:jc w:val="center"/>
            </w:pPr>
            <w:r>
              <w:rPr>
                <w:rFonts w:ascii="Arial" w:cs="Arial" w:eastAsia="Arial" w:hAnsi="Arial"/>
                <w:b/>
                <w:bCs/>
                <w:sz w:val="20"/>
                <w:szCs w:val="20"/>
              </w:rPr>
              <w:t xml:space="preserve">13</w:t>
            </w:r>
          </w:p>
        </w:tc>
      </w:tr>
      <w:tr>
        <w:tc>
          <w:tcPr>
            <w:tcMar>
              <w:top w:type="dxa" w:w="60"/>
              <w:left w:type="dxa" w:w="120"/>
              <w:bottom w:type="dxa" w:w="60"/>
              <w:right w:type="dxa" w:w="120"/>
            </w:tcMar>
          </w:tcPr>
          <w:p>
            <w:pPr>
              <w:spacing w:after="0" w:line="264"/>
              <w:jc w:val="left"/>
            </w:pPr>
            <w:r>
              <w:rPr>
                <w:rFonts w:ascii="Arial" w:cs="Arial" w:eastAsia="Arial" w:hAnsi="Arial"/>
                <w:sz w:val="20"/>
                <w:szCs w:val="20"/>
              </w:rPr>
              <w:t xml:space="preserve">7. Painel institucional, curadoria e exportações</w:t>
            </w:r>
          </w:p>
        </w:tc>
        <w:tc>
          <w:tcPr>
            <w:tcMar>
              <w:top w:type="dxa" w:w="60"/>
              <w:left w:type="dxa" w:w="120"/>
              <w:bottom w:type="dxa" w:w="60"/>
              <w:right w:type="dxa" w:w="120"/>
            </w:tcMar>
          </w:tcPr>
          <w:p>
            <w:pPr>
              <w:spacing w:after="0" w:line="264"/>
              <w:jc w:val="center"/>
            </w:pPr>
            <w:r>
              <w:rPr>
                <w:rFonts w:ascii="Arial" w:cs="Arial" w:eastAsia="Arial" w:hAnsi="Arial"/>
                <w:sz w:val="20"/>
                <w:szCs w:val="20"/>
              </w:rPr>
              <w:t xml:space="preserve">3</w:t>
            </w:r>
          </w:p>
        </w:tc>
        <w:tc>
          <w:tcPr>
            <w:tcMar>
              <w:top w:type="dxa" w:w="60"/>
              <w:left w:type="dxa" w:w="120"/>
              <w:bottom w:type="dxa" w:w="60"/>
              <w:right w:type="dxa" w:w="120"/>
            </w:tcMar>
          </w:tcPr>
          <w:p>
            <w:pPr>
              <w:spacing w:after="0" w:line="264"/>
              <w:jc w:val="center"/>
            </w:pPr>
            <w:r>
              <w:rPr>
                <w:rFonts w:ascii="Arial" w:cs="Arial" w:eastAsia="Arial" w:hAnsi="Arial"/>
                <w:sz w:val="20"/>
                <w:szCs w:val="20"/>
              </w:rPr>
              <w:t xml:space="preserve">5</w:t>
            </w:r>
          </w:p>
        </w:tc>
        <w:tc>
          <w:tcPr>
            <w:tcMar>
              <w:top w:type="dxa" w:w="60"/>
              <w:left w:type="dxa" w:w="120"/>
              <w:bottom w:type="dxa" w:w="60"/>
              <w:right w:type="dxa" w:w="120"/>
            </w:tcMar>
          </w:tcPr>
          <w:p>
            <w:pPr>
              <w:spacing w:after="0" w:line="264"/>
              <w:jc w:val="center"/>
            </w:pPr>
            <w:r>
              <w:rPr>
                <w:rFonts w:ascii="Arial" w:cs="Arial" w:eastAsia="Arial" w:hAnsi="Arial"/>
                <w:sz w:val="20"/>
                <w:szCs w:val="20"/>
              </w:rPr>
              <w:t xml:space="preserve">5</w:t>
            </w:r>
          </w:p>
        </w:tc>
        <w:tc>
          <w:tcPr>
            <w:tcMar>
              <w:top w:type="dxa" w:w="60"/>
              <w:left w:type="dxa" w:w="120"/>
              <w:bottom w:type="dxa" w:w="60"/>
              <w:right w:type="dxa" w:w="120"/>
            </w:tcMar>
          </w:tcPr>
          <w:p>
            <w:pPr>
              <w:spacing w:after="0" w:line="264"/>
              <w:jc w:val="center"/>
            </w:pPr>
            <w:r>
              <w:rPr>
                <w:rFonts w:ascii="Arial" w:cs="Arial" w:eastAsia="Arial" w:hAnsi="Arial"/>
                <w:sz w:val="20"/>
                <w:szCs w:val="20"/>
              </w:rPr>
              <w:t xml:space="preserve">3</w:t>
            </w:r>
          </w:p>
        </w:tc>
        <w:tc>
          <w:tcPr>
            <w:tcMar>
              <w:top w:type="dxa" w:w="60"/>
              <w:left w:type="dxa" w:w="120"/>
              <w:bottom w:type="dxa" w:w="60"/>
              <w:right w:type="dxa" w:w="120"/>
            </w:tcMar>
          </w:tcPr>
          <w:p>
            <w:pPr>
              <w:spacing w:after="0" w:line="264"/>
              <w:jc w:val="center"/>
            </w:pPr>
            <w:r>
              <w:rPr>
                <w:rFonts w:ascii="Arial" w:cs="Arial" w:eastAsia="Arial" w:hAnsi="Arial"/>
                <w:b/>
                <w:bCs/>
                <w:sz w:val="20"/>
                <w:szCs w:val="20"/>
              </w:rPr>
              <w:t xml:space="preserve">16</w:t>
            </w:r>
          </w:p>
        </w:tc>
      </w:tr>
      <w:tr>
        <w:tc>
          <w:tcPr>
            <w:tcMar>
              <w:top w:type="dxa" w:w="60"/>
              <w:left w:type="dxa" w:w="120"/>
              <w:bottom w:type="dxa" w:w="60"/>
              <w:right w:type="dxa" w:w="120"/>
            </w:tcMar>
          </w:tcPr>
          <w:p>
            <w:pPr>
              <w:spacing w:after="0" w:line="264"/>
              <w:jc w:val="left"/>
            </w:pPr>
            <w:r>
              <w:rPr>
                <w:rFonts w:ascii="Arial" w:cs="Arial" w:eastAsia="Arial" w:hAnsi="Arial"/>
                <w:sz w:val="20"/>
                <w:szCs w:val="20"/>
              </w:rPr>
              <w:t xml:space="preserve">8. E-mails, acionadores, escala, integridade e segurança</w:t>
            </w:r>
          </w:p>
        </w:tc>
        <w:tc>
          <w:tcPr>
            <w:tcMar>
              <w:top w:type="dxa" w:w="60"/>
              <w:left w:type="dxa" w:w="120"/>
              <w:bottom w:type="dxa" w:w="60"/>
              <w:right w:type="dxa" w:w="120"/>
            </w:tcMar>
          </w:tcPr>
          <w:p>
            <w:pPr>
              <w:spacing w:after="0" w:line="264"/>
              <w:jc w:val="center"/>
            </w:pPr>
            <w:r>
              <w:rPr>
                <w:rFonts w:ascii="Arial" w:cs="Arial" w:eastAsia="Arial" w:hAnsi="Arial"/>
                <w:sz w:val="20"/>
                <w:szCs w:val="20"/>
              </w:rPr>
              <w:t xml:space="preserve">1</w:t>
            </w:r>
          </w:p>
        </w:tc>
        <w:tc>
          <w:tcPr>
            <w:tcMar>
              <w:top w:type="dxa" w:w="60"/>
              <w:left w:type="dxa" w:w="120"/>
              <w:bottom w:type="dxa" w:w="60"/>
              <w:right w:type="dxa" w:w="120"/>
            </w:tcMar>
          </w:tcPr>
          <w:p>
            <w:pPr>
              <w:spacing w:after="0" w:line="264"/>
              <w:jc w:val="center"/>
            </w:pPr>
            <w:r>
              <w:rPr>
                <w:rFonts w:ascii="Arial" w:cs="Arial" w:eastAsia="Arial" w:hAnsi="Arial"/>
                <w:sz w:val="20"/>
                <w:szCs w:val="20"/>
              </w:rPr>
              <w:t xml:space="preserve">7</w:t>
            </w:r>
          </w:p>
        </w:tc>
        <w:tc>
          <w:tcPr>
            <w:tcMar>
              <w:top w:type="dxa" w:w="60"/>
              <w:left w:type="dxa" w:w="120"/>
              <w:bottom w:type="dxa" w:w="60"/>
              <w:right w:type="dxa" w:w="120"/>
            </w:tcMar>
          </w:tcPr>
          <w:p>
            <w:pPr>
              <w:spacing w:after="0" w:line="264"/>
              <w:jc w:val="center"/>
            </w:pPr>
            <w:r>
              <w:rPr>
                <w:rFonts w:ascii="Arial" w:cs="Arial" w:eastAsia="Arial" w:hAnsi="Arial"/>
                <w:sz w:val="20"/>
                <w:szCs w:val="20"/>
              </w:rPr>
              <w:t xml:space="preserve">12</w:t>
            </w:r>
          </w:p>
        </w:tc>
        <w:tc>
          <w:tcPr>
            <w:tcMar>
              <w:top w:type="dxa" w:w="60"/>
              <w:left w:type="dxa" w:w="120"/>
              <w:bottom w:type="dxa" w:w="60"/>
              <w:right w:type="dxa" w:w="120"/>
            </w:tcMar>
          </w:tcPr>
          <w:p>
            <w:pPr>
              <w:spacing w:after="0" w:line="264"/>
              <w:jc w:val="center"/>
            </w:pPr>
            <w:r>
              <w:rPr>
                <w:rFonts w:ascii="Arial" w:cs="Arial" w:eastAsia="Arial" w:hAnsi="Arial"/>
                <w:sz w:val="20"/>
                <w:szCs w:val="20"/>
              </w:rPr>
              <w:t xml:space="preserve">3</w:t>
            </w:r>
          </w:p>
        </w:tc>
        <w:tc>
          <w:tcPr>
            <w:tcMar>
              <w:top w:type="dxa" w:w="60"/>
              <w:left w:type="dxa" w:w="120"/>
              <w:bottom w:type="dxa" w:w="60"/>
              <w:right w:type="dxa" w:w="120"/>
            </w:tcMar>
          </w:tcPr>
          <w:p>
            <w:pPr>
              <w:spacing w:after="0" w:line="264"/>
              <w:jc w:val="center"/>
            </w:pPr>
            <w:r>
              <w:rPr>
                <w:rFonts w:ascii="Arial" w:cs="Arial" w:eastAsia="Arial" w:hAnsi="Arial"/>
                <w:b/>
                <w:bCs/>
                <w:sz w:val="20"/>
                <w:szCs w:val="20"/>
              </w:rPr>
              <w:t xml:space="preserve">23</w:t>
            </w:r>
          </w:p>
        </w:tc>
      </w:tr>
      <w:tr>
        <w:tc>
          <w:tcPr>
            <w:tcMar>
              <w:top w:type="dxa" w:w="60"/>
              <w:left w:type="dxa" w:w="120"/>
              <w:bottom w:type="dxa" w:w="60"/>
              <w:right w:type="dxa" w:w="120"/>
            </w:tcMar>
          </w:tcPr>
          <w:p>
            <w:pPr>
              <w:spacing w:after="0" w:line="264"/>
              <w:jc w:val="left"/>
            </w:pPr>
            <w:r>
              <w:rPr>
                <w:rFonts w:ascii="Arial" w:cs="Arial" w:eastAsia="Arial" w:hAnsi="Arial"/>
                <w:b/>
                <w:bCs/>
                <w:sz w:val="20"/>
                <w:szCs w:val="20"/>
              </w:rPr>
              <w:t xml:space="preserve">Total</w:t>
            </w:r>
          </w:p>
        </w:tc>
        <w:tc>
          <w:tcPr>
            <w:tcMar>
              <w:top w:type="dxa" w:w="60"/>
              <w:left w:type="dxa" w:w="120"/>
              <w:bottom w:type="dxa" w:w="60"/>
              <w:right w:type="dxa" w:w="120"/>
            </w:tcMar>
          </w:tcPr>
          <w:p>
            <w:pPr>
              <w:spacing w:after="0" w:line="264"/>
              <w:jc w:val="center"/>
            </w:pPr>
            <w:r>
              <w:rPr>
                <w:rFonts w:ascii="Arial" w:cs="Arial" w:eastAsia="Arial" w:hAnsi="Arial"/>
                <w:b/>
                <w:bCs/>
                <w:sz w:val="20"/>
                <w:szCs w:val="20"/>
              </w:rPr>
              <w:t xml:space="preserve">21</w:t>
            </w:r>
          </w:p>
        </w:tc>
        <w:tc>
          <w:tcPr>
            <w:tcMar>
              <w:top w:type="dxa" w:w="60"/>
              <w:left w:type="dxa" w:w="120"/>
              <w:bottom w:type="dxa" w:w="60"/>
              <w:right w:type="dxa" w:w="120"/>
            </w:tcMar>
          </w:tcPr>
          <w:p>
            <w:pPr>
              <w:spacing w:after="0" w:line="264"/>
              <w:jc w:val="center"/>
            </w:pPr>
            <w:r>
              <w:rPr>
                <w:rFonts w:ascii="Arial" w:cs="Arial" w:eastAsia="Arial" w:hAnsi="Arial"/>
                <w:b/>
                <w:bCs/>
                <w:sz w:val="20"/>
                <w:szCs w:val="20"/>
              </w:rPr>
              <w:t xml:space="preserve">34</w:t>
            </w:r>
          </w:p>
        </w:tc>
        <w:tc>
          <w:tcPr>
            <w:tcMar>
              <w:top w:type="dxa" w:w="60"/>
              <w:left w:type="dxa" w:w="120"/>
              <w:bottom w:type="dxa" w:w="60"/>
              <w:right w:type="dxa" w:w="120"/>
            </w:tcMar>
          </w:tcPr>
          <w:p>
            <w:pPr>
              <w:spacing w:after="0" w:line="264"/>
              <w:jc w:val="center"/>
            </w:pPr>
            <w:r>
              <w:rPr>
                <w:rFonts w:ascii="Arial" w:cs="Arial" w:eastAsia="Arial" w:hAnsi="Arial"/>
                <w:b/>
                <w:bCs/>
                <w:sz w:val="20"/>
                <w:szCs w:val="20"/>
              </w:rPr>
              <w:t xml:space="preserve">42</w:t>
            </w:r>
          </w:p>
        </w:tc>
        <w:tc>
          <w:tcPr>
            <w:tcMar>
              <w:top w:type="dxa" w:w="60"/>
              <w:left w:type="dxa" w:w="120"/>
              <w:bottom w:type="dxa" w:w="60"/>
              <w:right w:type="dxa" w:w="120"/>
            </w:tcMar>
          </w:tcPr>
          <w:p>
            <w:pPr>
              <w:spacing w:after="0" w:line="264"/>
              <w:jc w:val="center"/>
            </w:pPr>
            <w:r>
              <w:rPr>
                <w:rFonts w:ascii="Arial" w:cs="Arial" w:eastAsia="Arial" w:hAnsi="Arial"/>
                <w:b/>
                <w:bCs/>
                <w:sz w:val="20"/>
                <w:szCs w:val="20"/>
              </w:rPr>
              <w:t xml:space="preserve">17</w:t>
            </w:r>
          </w:p>
        </w:tc>
        <w:tc>
          <w:tcPr>
            <w:tcMar>
              <w:top w:type="dxa" w:w="60"/>
              <w:left w:type="dxa" w:w="120"/>
              <w:bottom w:type="dxa" w:w="60"/>
              <w:right w:type="dxa" w:w="120"/>
            </w:tcMar>
          </w:tcPr>
          <w:p>
            <w:pPr>
              <w:spacing w:after="0" w:line="264"/>
              <w:jc w:val="center"/>
            </w:pPr>
            <w:r>
              <w:rPr>
                <w:rFonts w:ascii="Arial" w:cs="Arial" w:eastAsia="Arial" w:hAnsi="Arial"/>
                <w:b/>
                <w:bCs/>
                <w:sz w:val="20"/>
                <w:szCs w:val="20"/>
              </w:rPr>
              <w:t xml:space="preserve">114</w:t>
            </w:r>
          </w:p>
        </w:tc>
      </w:tr>
    </w:tbl>
    <w:p>
      <w:pPr>
        <w:spacing w:after="140" w:before="200" w:line="288"/>
        <w:jc w:val="both"/>
      </w:pPr>
      <w:r>
        <w:rPr>
          <w:rFonts w:ascii="Arial" w:cs="Arial" w:eastAsia="Arial" w:hAnsi="Arial"/>
          <w:sz w:val="22"/>
          <w:szCs w:val="22"/>
        </w:rPr>
        <w:t xml:space="preserve">Os 114 achados não correspondem a 114 causas. Reduzidos às suas raízes, são pouco mais de vinte, e meia dúzia delas explica quase metade da lista: uma sessão que valia até doze horas sem reconferir o cadastro de quem a abriu; uma gravação que lia e reescrevia a linha inteira sem trava; uma lista de campos protegidos escrita como lista de exceções, em que o esquecimento abria a porta; uma coluna de planilha localizada por posição e nunca conferida pelo nome; duas folhas de estilo mantendo à mão a mesma tipografia para a tela e para o papel; e a regra, própria do ambiente em que o sistema roda, de que toda função do servidor cujo nome não termina em sublinhado é chamável por qualquer navegador.</w:t>
      </w:r>
    </w:p>
    <w:p>
      <w:pPr>
        <w:spacing w:after="140" w:line="288"/>
        <w:jc w:val="both"/>
      </w:pPr>
      <w:r>
        <w:rPr>
          <w:rFonts w:ascii="Arial" w:cs="Arial" w:eastAsia="Arial" w:hAnsi="Arial"/>
          <w:sz w:val="22"/>
          <w:szCs w:val="22"/>
        </w:rPr>
        <w:t xml:space="preserve">Das 114, 77 viraram correção nesta versão. As demais foram decididas e declaradas, com a razão, no documento de instalação do pacote; a seção 6 deste relatório resume as que importam à Secretaria. Nenhum achado foi descartado em silêncio.</w:t>
      </w:r>
    </w:p>
    <w:p>
      <w:pPr>
        <w:pStyle w:val="Heading1"/>
        <w:pageBreakBefore/>
        <w:pBdr>
          <w:bottom w:val="single" w:color="BFBFBF" w:sz="4" w:space="6"/>
        </w:pBdr>
        <w:spacing w:after="240" w:before="0"/>
      </w:pPr>
      <w:r>
        <w:rPr>
          <w:rFonts w:ascii="Arial" w:cs="Arial" w:eastAsia="Arial" w:hAnsi="Arial"/>
          <w:b/>
          <w:bCs/>
          <w:color w:val="000000"/>
          <w:sz w:val="28"/>
          <w:szCs w:val="28"/>
        </w:rPr>
        <w:t xml:space="preserve">3. Os achados críticos, um a um</w:t>
      </w:r>
    </w:p>
    <w:p>
      <w:pPr>
        <w:spacing w:after="140" w:line="288"/>
        <w:jc w:val="both"/>
      </w:pPr>
      <w:r>
        <w:rPr>
          <w:rFonts w:ascii="Arial" w:cs="Arial" w:eastAsia="Arial" w:hAnsi="Arial"/>
          <w:sz w:val="22"/>
          <w:szCs w:val="22"/>
        </w:rPr>
        <w:t xml:space="preserve">Os 21 achados críticos estão abaixo na ordem das áreas. De cada um se diz o que era, qual o risco concreto para a rede e o que passou a valer na versão 8.13. Todos foram fechados e reconferidos por quem os encontrou.</w:t>
      </w:r>
    </w:p>
    <w:p>
      <w:pPr>
        <w:pStyle w:val="Heading2"/>
        <w:spacing w:after="120" w:before="320"/>
      </w:pPr>
      <w:r>
        <w:rPr>
          <w:rFonts w:ascii="Arial" w:cs="Arial" w:eastAsia="Arial" w:hAnsi="Arial"/>
          <w:b/>
          <w:bCs/>
          <w:color w:val="000000"/>
          <w:sz w:val="24"/>
          <w:szCs w:val="24"/>
        </w:rPr>
        <w:t xml:space="preserve">3.1 Abertura, sessão e autenticação</w:t>
      </w:r>
    </w:p>
    <w:p>
      <w:pPr>
        <w:spacing w:after="160" w:line="288"/>
        <w:jc w:val="both"/>
      </w:pPr>
      <w:r>
        <w:rPr>
          <w:rFonts w:ascii="Arial" w:cs="Arial" w:eastAsia="Arial" w:hAnsi="Arial"/>
          <w:b/>
          <w:bCs/>
          <w:sz w:val="22"/>
          <w:szCs w:val="22"/>
        </w:rPr>
        <w:t xml:space="preserve">Um endereço preparado executava comandos na sessão de quem o abrisse.</w:t>
      </w:r>
      <w:r>
        <w:rPr>
          <w:rFonts w:ascii="Arial" w:cs="Arial" w:eastAsia="Arial" w:hAnsi="Arial"/>
          <w:sz w:val="22"/>
          <w:szCs w:val="22"/>
        </w:rPr>
        <w:t xml:space="preserve"> Os dois atalhos da tela de abertura — o que leva à conferência de autenticidade pelo código do rodapé e o que leva ao primeiro acesso — chegam ao sistema como parte do endereço e eram impressos na página dentro de um bloco de programa. Um endereço montado com a sequência que fecha esse bloco passava a executar o que quem o montou quisesse. O risco concreto: bastava um diretor ou um membro do Colegiado clicar num link recebido por e-mail para que a sessão dele — e tudo o que ele pode fazer no sistema — ficasse à disposição de terceiros. O defeito havia escapado porque o arquivo montado para testes substitui esse trecho por um valor vazio: ele vivia apenas no modelo servido em produção. Hoje o conteúdo do endereço não pode, por construção, sair do texto em que é guardado.</w:t>
      </w:r>
    </w:p>
    <w:p>
      <w:pPr>
        <w:pStyle w:val="Heading2"/>
        <w:spacing w:after="120" w:before="320"/>
      </w:pPr>
      <w:r>
        <w:rPr>
          <w:rFonts w:ascii="Arial" w:cs="Arial" w:eastAsia="Arial" w:hAnsi="Arial"/>
          <w:b/>
          <w:bCs/>
          <w:color w:val="000000"/>
          <w:sz w:val="24"/>
          <w:szCs w:val="24"/>
        </w:rPr>
        <w:t xml:space="preserve">3.2 Cadastro de acessos, cascata de papéis e histórico</w:t>
      </w:r>
    </w:p>
    <w:p>
      <w:pPr>
        <w:spacing w:after="160" w:line="288"/>
        <w:jc w:val="both"/>
      </w:pPr>
      <w:r>
        <w:rPr>
          <w:rFonts w:ascii="Arial" w:cs="Arial" w:eastAsia="Arial" w:hAnsi="Arial"/>
          <w:b/>
          <w:bCs/>
          <w:sz w:val="22"/>
          <w:szCs w:val="22"/>
        </w:rPr>
        <w:t xml:space="preserve">O histórico de acessos entregava à Superintendência inteira os dados dos membros do Colegiado.</w:t>
      </w:r>
      <w:r>
        <w:rPr>
          <w:rFonts w:ascii="Arial" w:cs="Arial" w:eastAsia="Arial" w:hAnsi="Arial"/>
          <w:sz w:val="22"/>
          <w:szCs w:val="22"/>
        </w:rPr>
        <w:t xml:space="preserve"> A aba criada na versão 8.12 dava a todo papel regional o alcance "a minha Superintendência" e filtrava as linhas apenas por esse campo. Como as linhas do Colegiado Escolar também trazem a regional, cinco papéis regionais — inclusive os dois da Inspeção, que acompanham e não mantêm cadastro de ninguém — recebiam nome, e-mail pessoal e a observação que diz de que estudante o membro é responsável e de que turma. É o achado mais sério do ponto de vista de proteção de dados, e foi encontrado duas vezes, por varreduras independentes. O alcance passou a ser "o que este acesso mantém": o Colegiado de uma escola é visto pela direção dela e por mais ninguém.</w:t>
      </w:r>
    </w:p>
    <w:p>
      <w:pPr>
        <w:spacing w:after="160" w:line="288"/>
        <w:jc w:val="both"/>
      </w:pPr>
      <w:r>
        <w:rPr>
          <w:rFonts w:ascii="Arial" w:cs="Arial" w:eastAsia="Arial" w:hAnsi="Arial"/>
          <w:b/>
          <w:bCs/>
          <w:sz w:val="22"/>
          <w:szCs w:val="22"/>
        </w:rPr>
        <w:t xml:space="preserve">Quem cadastra um papel podia reescrever o papel de quem já existe.</w:t>
      </w:r>
      <w:r>
        <w:rPr>
          <w:rFonts w:ascii="Arial" w:cs="Arial" w:eastAsia="Arial" w:hAnsi="Arial"/>
          <w:sz w:val="22"/>
          <w:szCs w:val="22"/>
        </w:rPr>
        <w:t xml:space="preserve"> A cascata conferia se quem cadastra tem competência sobre o papel pedido, mas nunca sobre o papel atual da pessoa alvo. Um Diretor Educacional não remove um Superintendente — a trava recusa, com a mensagem certa. Mas ele podia reescrever o cadastro do Superintendente como membro da própria equipe e, aí sim, removê-lo: a proteção caía em dois passos. A Superintendência ficava sem Superintendente, e o registro permanente não guardava em momento algum que aquela pessoa o havia sido. Mudar alguém de papel passou a exigir competência sobre os dois papéis, o de origem e o de destino.</w:t>
      </w:r>
    </w:p>
    <w:p>
      <w:pPr>
        <w:spacing w:after="160" w:line="288"/>
        <w:jc w:val="both"/>
      </w:pPr>
      <w:r>
        <w:rPr>
          <w:rFonts w:ascii="Arial" w:cs="Arial" w:eastAsia="Arial" w:hAnsi="Arial"/>
          <w:b/>
          <w:bCs/>
          <w:sz w:val="22"/>
          <w:szCs w:val="22"/>
        </w:rPr>
        <w:t xml:space="preserve">Mudar de perfil ou de regional reescrevia, no lugar, o período já aberto do registro permanente.</w:t>
      </w:r>
      <w:r>
        <w:rPr>
          <w:rFonts w:ascii="Arial" w:cs="Arial" w:eastAsia="Arial" w:hAnsi="Arial"/>
          <w:sz w:val="22"/>
          <w:szCs w:val="22"/>
        </w:rPr>
        <w:t xml:space="preserve"> Ao mover um acesso institucional de uma Superintendência para outra, a linha aberta do histórico era reescrita: a regional de origem perdia a única prova de que aquela pessoa respondeu por ela, e a de destino passava a exibir um período iniciado enquanto a pessoa estava na outra. Pior, ao cadastrar um membro do Colegiado como acesso regional, o registro de que ele integrara o Colegiado daquela escola — e, portanto, de por que assinou o PPP — desaparecia por inteiro. Mudar de perfil, de regional ou de escola passou a fechar o período anterior e abrir um novo; nunca a reescrever o aberto.</w:t>
      </w:r>
    </w:p>
    <w:p>
      <w:pPr>
        <w:pStyle w:val="Heading2"/>
        <w:spacing w:after="120" w:before="320"/>
      </w:pPr>
      <w:r>
        <w:rPr>
          <w:rFonts w:ascii="Arial" w:cs="Arial" w:eastAsia="Arial" w:hAnsi="Arial"/>
          <w:b/>
          <w:bCs/>
          <w:color w:val="000000"/>
          <w:sz w:val="24"/>
          <w:szCs w:val="24"/>
        </w:rPr>
        <w:t xml:space="preserve">3.3 Base da rede: escolas, cargas e vínculo do documento</w:t>
      </w:r>
    </w:p>
    <w:p>
      <w:pPr>
        <w:spacing w:after="160" w:line="288"/>
        <w:jc w:val="both"/>
      </w:pPr>
      <w:r>
        <w:rPr>
          <w:rFonts w:ascii="Arial" w:cs="Arial" w:eastAsia="Arial" w:hAnsi="Arial"/>
          <w:b/>
          <w:bCs/>
          <w:sz w:val="22"/>
          <w:szCs w:val="22"/>
        </w:rPr>
        <w:t xml:space="preserve">A baixa da escola prometia encerrar o acesso da direção e não encerrava.</w:t>
      </w:r>
      <w:r>
        <w:rPr>
          <w:rFonts w:ascii="Arial" w:cs="Arial" w:eastAsia="Arial" w:hAnsi="Arial"/>
          <w:sz w:val="22"/>
          <w:szCs w:val="22"/>
        </w:rPr>
        <w:t xml:space="preserve"> A janela de confirmação afirma, com estas palavras, que o acesso da direção é encerrado e o Colegiado inativado, e que ninguém poderá assinar, anexar a ata nem concluir aquele documento. Nada disso valia enquanto houvesse sessão aberta: a sessão dura até doze horas e nenhuma ação de gravação ou assinatura reconsultava o cadastro. Depois da baixa, com a mesma aba aberta, quem fora desligado gravava, concluía, anexava a ata e assinava, e o documento chegava a "Enviado para homologação" em nome de uma escola que já não estava na rede — sem que ninguém na Superintendência visse, porque a unidade inativa some da aba de cobertura. As ações que importam passaram a reconferir o cadastro e a situação da unidade.</w:t>
      </w:r>
    </w:p>
    <w:p>
      <w:pPr>
        <w:spacing w:after="160" w:line="288"/>
        <w:jc w:val="both"/>
      </w:pPr>
      <w:r>
        <w:rPr>
          <w:rFonts w:ascii="Arial" w:cs="Arial" w:eastAsia="Arial" w:hAnsi="Arial"/>
          <w:b/>
          <w:bCs/>
          <w:sz w:val="22"/>
          <w:szCs w:val="22"/>
        </w:rPr>
        <w:t xml:space="preserve">A trava que protege o PPP na inativação não cobria a fase de coleta de assinaturas.</w:t>
      </w:r>
      <w:r>
        <w:rPr>
          <w:rFonts w:ascii="Arial" w:cs="Arial" w:eastAsia="Arial" w:hAnsi="Arial"/>
          <w:sz w:val="22"/>
          <w:szCs w:val="22"/>
        </w:rPr>
        <w:t xml:space="preserve"> A proteção criada numa versão anterior procurava o documento aberto apenas entre os que ainda estão em elaboração. Um PPP parado esperando as assinaturas do Colegiado não era encontrado: a escola era inativada sem pedir confirmação alguma, a direção era apagada, os signatários inativados, e nenhuma linha era escrita na linha do tempo do documento. O documento ficava com assinaturas pela metade, sem signatários e sem registro do motivo — justamente na fase mais frágil do ciclo. A confirmação e o registro passaram a valer para qualquer documento não encerrado.</w:t>
      </w:r>
    </w:p>
    <w:p>
      <w:pPr>
        <w:spacing w:after="160" w:line="288"/>
        <w:jc w:val="both"/>
      </w:pPr>
      <w:r>
        <w:rPr>
          <w:rFonts w:ascii="Arial" w:cs="Arial" w:eastAsia="Arial" w:hAnsi="Arial"/>
          <w:b/>
          <w:bCs/>
          <w:sz w:val="22"/>
          <w:szCs w:val="22"/>
        </w:rPr>
        <w:t xml:space="preserve">Na carga de diretores, uma escola repetida no arquivo substituía o diretor que a própria carga acabara de gravar.</w:t>
      </w:r>
      <w:r>
        <w:rPr>
          <w:rFonts w:ascii="Arial" w:cs="Arial" w:eastAsia="Arial" w:hAnsi="Arial"/>
          <w:sz w:val="22"/>
          <w:szCs w:val="22"/>
        </w:rPr>
        <w:t xml:space="preserve"> A carga real é fatiada em lotes de 150 linhas, e cada continuação reconferia o arquivo inteiro do zero. Na segunda passagem, as linhas já gravadas passavam a ser recusadas por já corresponderem ao diretor em exercício — e, por serem recusadas, deixavam de alimentar a guarda contra código repetido. Uma segunda ocorrência da mesma escola, caindo num lote posterior, era aceita e gravava: encerrava o período do diretor escrito minutos antes, apagava o cadastro dele e punha outro no lugar. A simulação prévia prometia 199 aceitas e 1 recusada; a gravação real entregava 200 e 0. O caso é realista — duas Superintendências enviando cada uma a sua parte e alguém empilhando os arquivos. A conferência passou a ser feita sobre todas as linhas e reaproveitada entre os lotes.</w:t>
      </w:r>
    </w:p>
    <w:p>
      <w:pPr>
        <w:spacing w:after="160" w:line="288"/>
        <w:jc w:val="both"/>
      </w:pPr>
      <w:r>
        <w:rPr>
          <w:rFonts w:ascii="Arial" w:cs="Arial" w:eastAsia="Arial" w:hAnsi="Arial"/>
          <w:b/>
          <w:bCs/>
          <w:sz w:val="22"/>
          <w:szCs w:val="22"/>
        </w:rPr>
        <w:t xml:space="preserve">"Corrigir os dados do diretor" trocava a pessoa e entregava a senha dela a quem entrasse.</w:t>
      </w:r>
      <w:r>
        <w:rPr>
          <w:rFonts w:ascii="Arial" w:cs="Arial" w:eastAsia="Arial" w:hAnsi="Arial"/>
          <w:sz w:val="22"/>
          <w:szCs w:val="22"/>
        </w:rPr>
        <w:t xml:space="preserve"> No modo de correção, o formulário vinha com nome, matrícula e e-mail preenchidos e todos editáveis, e a tela garantia que o período continuaria o mesmo e nada iria para o histórico. Trocando os três campos — o que é, por qualquer critério, outra pessoa —, o período aberto do registro permanente era reescrito: o diretor anterior desaparecia por completo do histórico da escola, e o novo passava a constar como se estivesse ali desde a data do antecessor. E porque o sistema não entendia aquilo como troca de gestor, a senha era preservada e passava a valer para o endereço novo: quem soubesse a senha do diretor que saiu entrava no acesso do que entrou. Hoje qualquer alteração de endereço nesse caminho invalida a senha, e a substituição disfarçada é recusada.</w:t>
      </w:r>
    </w:p>
    <w:p>
      <w:pPr>
        <w:pStyle w:val="Heading2"/>
        <w:spacing w:after="120" w:before="320"/>
      </w:pPr>
      <w:r>
        <w:rPr>
          <w:rFonts w:ascii="Arial" w:cs="Arial" w:eastAsia="Arial" w:hAnsi="Arial"/>
          <w:b/>
          <w:bCs/>
          <w:color w:val="000000"/>
          <w:sz w:val="24"/>
          <w:szCs w:val="24"/>
        </w:rPr>
        <w:t xml:space="preserve">3.4 Elaboração do PPP</w:t>
      </w:r>
    </w:p>
    <w:p>
      <w:pPr>
        <w:spacing w:after="160" w:line="288"/>
        <w:jc w:val="both"/>
      </w:pPr>
      <w:r>
        <w:rPr>
          <w:rFonts w:ascii="Arial" w:cs="Arial" w:eastAsia="Arial" w:hAnsi="Arial"/>
          <w:b/>
          <w:bCs/>
          <w:sz w:val="22"/>
          <w:szCs w:val="22"/>
        </w:rPr>
        <w:t xml:space="preserve">O texto digitado durante um salvamento era dado como salvo e apagado do rascunho.</w:t>
      </w:r>
      <w:r>
        <w:rPr>
          <w:rFonts w:ascii="Arial" w:cs="Arial" w:eastAsia="Arial" w:hAnsi="Arial"/>
          <w:sz w:val="22"/>
          <w:szCs w:val="22"/>
        </w:rPr>
        <w:t xml:space="preserve"> Quando a escola pedia para salvar e continuava escrevendo enquanto a resposta não chegava — o que é a regra, e não a exceção, numa conexão de escola —, a resposta de sucesso zerava a marca de "há texto não gravado" e apagava o rascunho guardado no navegador. O texto escrito nesse intervalo ficava apenas na tela: não estava no servidor, não estava no rascunho, o aviso ao fechar a aba não aparecia e o salvamento automático não disparava. Fechar a aba perdia o trabalho, em silêncio, com o sistema informando que estava tudo salvo. Hoje a marca só é zerada quando o que voltou do servidor corresponde ao que está na tela.</w:t>
      </w:r>
    </w:p>
    <w:p>
      <w:pPr>
        <w:pStyle w:val="Heading2"/>
        <w:spacing w:after="120" w:before="320"/>
      </w:pPr>
      <w:r>
        <w:rPr>
          <w:rFonts w:ascii="Arial" w:cs="Arial" w:eastAsia="Arial" w:hAnsi="Arial"/>
          <w:b/>
          <w:bCs/>
          <w:color w:val="000000"/>
          <w:sz w:val="24"/>
          <w:szCs w:val="24"/>
        </w:rPr>
        <w:t xml:space="preserve">3.5 Ciclo do documento: conclusão, assinatura e homologação</w:t>
      </w:r>
    </w:p>
    <w:p>
      <w:pPr>
        <w:spacing w:after="160" w:line="288"/>
        <w:jc w:val="both"/>
      </w:pPr>
      <w:r>
        <w:rPr>
          <w:rFonts w:ascii="Arial" w:cs="Arial" w:eastAsia="Arial" w:hAnsi="Arial"/>
          <w:b/>
          <w:bCs/>
          <w:sz w:val="22"/>
          <w:szCs w:val="22"/>
        </w:rPr>
        <w:t xml:space="preserve">Um salvamento simultâneo desfazia a conclusão do documento.</w:t>
      </w:r>
      <w:r>
        <w:rPr>
          <w:rFonts w:ascii="Arial" w:cs="Arial" w:eastAsia="Arial" w:hAnsi="Arial"/>
          <w:sz w:val="22"/>
          <w:szCs w:val="22"/>
        </w:rPr>
        <w:t xml:space="preserve"> A gravação lia a linha inteira do registro, montava a nova e escrevia de uma vez, sem tomar a trava do sistema. Entre a leitura e a escrita cabia uma execução inteira de "concluir": a conclusão gravava o status, a data, o código de autenticidade, o documento congelado e a folha de assinaturas, e a gravação pendente derrubava tudo isso de volta ao estado anterior. O risco concreto é o pior possível num documento oficial: a tela já havia mostrado o código à escola e o PDF já estava salvo, com o código impresso no rodapé de todas as páginas — e a conferência pública passava a responder que não existe documento com aquele código. Toda gravação passou a correr sob trava, e a linha ganhou um número de revisão.</w:t>
      </w:r>
    </w:p>
    <w:p>
      <w:pPr>
        <w:spacing w:after="160" w:line="288"/>
        <w:jc w:val="both"/>
      </w:pPr>
      <w:r>
        <w:rPr>
          <w:rFonts w:ascii="Arial" w:cs="Arial" w:eastAsia="Arial" w:hAnsi="Arial"/>
          <w:b/>
          <w:bCs/>
          <w:sz w:val="22"/>
          <w:szCs w:val="22"/>
        </w:rPr>
        <w:t xml:space="preserve">A mesma corrida apagava a validação da Superintendência.</w:t>
      </w:r>
      <w:r>
        <w:rPr>
          <w:rFonts w:ascii="Arial" w:cs="Arial" w:eastAsia="Arial" w:hAnsi="Arial"/>
          <w:sz w:val="22"/>
          <w:szCs w:val="22"/>
        </w:rPr>
        <w:t xml:space="preserve"> Pelo mesmo caminho, um salvamento pendente da escola sobrescrevia o resultado de uma validação recém-concluída: o documento voltava a "Em andamento" e o parecer registrado pela Diretoria Educacional desaparecia, sem rastro. A correção é a mesma da anterior, e foi conferida separadamente.</w:t>
      </w:r>
    </w:p>
    <w:p>
      <w:pPr>
        <w:spacing w:after="160" w:line="288"/>
        <w:jc w:val="both"/>
      </w:pPr>
      <w:r>
        <w:rPr>
          <w:rFonts w:ascii="Arial" w:cs="Arial" w:eastAsia="Arial" w:hAnsi="Arial"/>
          <w:b/>
          <w:bCs/>
          <w:sz w:val="22"/>
          <w:szCs w:val="22"/>
        </w:rPr>
        <w:t xml:space="preserve">A escola podia gravar a homologação e a ata pelo que o navegador enviasse.</w:t>
      </w:r>
      <w:r>
        <w:rPr>
          <w:rFonts w:ascii="Arial" w:cs="Arial" w:eastAsia="Arial" w:hAnsi="Arial"/>
          <w:sz w:val="22"/>
          <w:szCs w:val="22"/>
        </w:rPr>
        <w:t xml:space="preserve"> A lista de colunas que a tela podia gravar era uma lista de exceções: o que tivesse tratamento explícito era protegido, e todo o resto vinha do envio. Com o tempo entraram colunas que ninguém se lembrou de proteger — a ata da reunião do Colegiado, a homologação da Superintendência, os anexos e as datas do ciclo. As consequências encadeiam-se: era possível declarar uma ata que não existia e, com isso, passar pela conferência que exige ata antes da assinatura; declarar uma homologação que nunca houve, que saía impressa em negrito na folha de assinaturas e era devolvida a quem conferisse o documento pela porta pública; e, como o prazo de revisão de dois anos é contado a partir da data de homologação, controlar se a escola aparece ou não como revisão vencida. A lista passou a ser branca: cada coluna declara, no código, se é escrita pela escola, e os atos de terceiros só são gravados pelas funções que os praticam.</w:t>
      </w:r>
    </w:p>
    <w:p>
      <w:pPr>
        <w:spacing w:after="160" w:line="288"/>
        <w:jc w:val="both"/>
      </w:pPr>
      <w:r>
        <w:rPr>
          <w:rFonts w:ascii="Arial" w:cs="Arial" w:eastAsia="Arial" w:hAnsi="Arial"/>
          <w:b/>
          <w:bCs/>
          <w:sz w:val="22"/>
          <w:szCs w:val="22"/>
        </w:rPr>
        <w:t xml:space="preserve">Uma marca interna do sistema viajava no envio da tela e furava o congelamento posterior à validação.</w:t>
      </w:r>
      <w:r>
        <w:rPr>
          <w:rFonts w:ascii="Arial" w:cs="Arial" w:eastAsia="Arial" w:hAnsi="Arial"/>
          <w:sz w:val="22"/>
          <w:szCs w:val="22"/>
        </w:rPr>
        <w:t xml:space="preserve"> A conclusão usa internamente uma marca para poder regravar a linha já validada. Como a gravação lia essa marca do que o navegador enviava, a escola podia reenviá-la e substituir por inteiro o texto de um documento já avalizado pela Diretoria Educacional — mantendo o nome e a data de quem avalizou o texto anterior e sem deixar uma linha na linha do tempo. Quem validou passava a responder por um texto que não leu. A marca deixou de vir do navegador.</w:t>
      </w:r>
    </w:p>
    <w:p>
      <w:pPr>
        <w:pStyle w:val="Heading2"/>
        <w:spacing w:after="120" w:before="320"/>
      </w:pPr>
      <w:r>
        <w:rPr>
          <w:rFonts w:ascii="Arial" w:cs="Arial" w:eastAsia="Arial" w:hAnsi="Arial"/>
          <w:b/>
          <w:bCs/>
          <w:color w:val="000000"/>
          <w:sz w:val="24"/>
          <w:szCs w:val="24"/>
        </w:rPr>
        <w:t xml:space="preserve">3.6 Montagem do documento e geração do PDF</w:t>
      </w:r>
    </w:p>
    <w:p>
      <w:pPr>
        <w:spacing w:after="160" w:line="288"/>
        <w:jc w:val="both"/>
      </w:pPr>
      <w:r>
        <w:rPr>
          <w:rFonts w:ascii="Arial" w:cs="Arial" w:eastAsia="Arial" w:hAnsi="Arial"/>
          <w:b/>
          <w:bCs/>
          <w:sz w:val="22"/>
          <w:szCs w:val="22"/>
        </w:rPr>
        <w:t xml:space="preserve">As referências estouravam a folha e sumiam do PDF, sem aviso.</w:t>
      </w:r>
      <w:r>
        <w:rPr>
          <w:rFonts w:ascii="Arial" w:cs="Arial" w:eastAsia="Arial" w:hAnsi="Arial"/>
          <w:sz w:val="22"/>
          <w:szCs w:val="22"/>
        </w:rPr>
        <w:t xml:space="preserve"> A lista de referências é um bloco único com muitos itens dentro, e a rotina que parte um bloco entre duas folhas desistia de qualquer elemento que tivesse itens dentro de si: o bloco inteiro era posto numa folha só, e como a folha corta o que excede a sua altura, o que não coubesse desaparecia. Num documento com todas as etapas e modalidades marcadas, o sistema produzia 73 referências e o PDF trazia 19 — sumiam 54, entre elas a Lei de Diretrizes e Bases, o Estatuto da Criança e do Adolescente, a Base Nacional Comum Curricular e resoluções da própria Secretaria. Sem erro, sem aviso e sem marca no documento; a folha anterior ficava quase em branco, só com o título da seção. O defeito estava no exemplo de PDF que acompanhava o pacote anterior. Hoje nada some do documento ao paginar, e o que exceder qualquer limite avisa em vez de desaparecer.</w:t>
      </w:r>
    </w:p>
    <w:p>
      <w:pPr>
        <w:spacing w:after="160" w:line="288"/>
        <w:jc w:val="both"/>
      </w:pPr>
      <w:r>
        <w:rPr>
          <w:rFonts w:ascii="Arial" w:cs="Arial" w:eastAsia="Arial" w:hAnsi="Arial"/>
          <w:b/>
          <w:bCs/>
          <w:sz w:val="22"/>
          <w:szCs w:val="22"/>
        </w:rPr>
        <w:t xml:space="preserve">Reabrir um documento concluído o paginava de novo, e a conferência pública mostrava cinco por cento dele.</w:t>
      </w:r>
      <w:r>
        <w:rPr>
          <w:rFonts w:ascii="Arial" w:cs="Arial" w:eastAsia="Arial" w:hAnsi="Arial"/>
          <w:sz w:val="22"/>
          <w:szCs w:val="22"/>
        </w:rPr>
        <w:t xml:space="preserve"> O documento congelado já é um conjunto de folhas montadas. Ao ser reaberto, passava outra vez pela rotina de paginação: as folhas reais ficavam aninhadas dentro de uma folha nova e o resto era cortado. Quem digitasse o código do rodapé na porta pública — que é exatamente o gesto de quem tem o papel na mão e quer conferir — via 14 dos 263 blocos do documento, com o timbre da Secretaria cortado ao meio na largura. O documento congelado passou a ser exibido como está, sem repaginação.</w:t>
      </w:r>
    </w:p>
    <w:p>
      <w:pPr>
        <w:spacing w:after="160" w:line="288"/>
        <w:jc w:val="both"/>
      </w:pPr>
      <w:r>
        <w:rPr>
          <w:rFonts w:ascii="Arial" w:cs="Arial" w:eastAsia="Arial" w:hAnsi="Arial"/>
          <w:b/>
          <w:bCs/>
          <w:sz w:val="22"/>
          <w:szCs w:val="22"/>
        </w:rPr>
        <w:t xml:space="preserve">A folha de assinaturas saía fora das margens, e o PDF trazia duas.</w:t>
      </w:r>
      <w:r>
        <w:rPr>
          <w:rFonts w:ascii="Arial" w:cs="Arial" w:eastAsia="Arial" w:hAnsi="Arial"/>
          <w:sz w:val="22"/>
          <w:szCs w:val="22"/>
        </w:rPr>
        <w:t xml:space="preserve"> A folha era acrescentada depois do fechamento do conjunto de páginas, portanto fora de qualquer página: sem margem, sem rodapé e sem número. Medida no arquivo, começava a zero milímetro da borda esquerda, onde deveria começar a trinta, e o código de verificação ficava colado na borda inferior; com muitos signatários, escorria por várias folhas, todas sem margem. Havia ainda uma segunda tabela de caixas de assinatura dentro do corpo do documento, com os textos de instrução da tela, porque o corpo era congelado antes de existir qualquer assinatura. O documento oficial saía com duas folhas de assinatura, e a que valia era a que não tinha nem margem nem código de autenticidade. A folha passou a ser uma seção paginada do documento, montada pelo servidor, dentro das margens do Padrão Ofício.</w:t>
      </w:r>
    </w:p>
    <w:p>
      <w:pPr>
        <w:spacing w:after="160" w:line="288"/>
        <w:jc w:val="both"/>
      </w:pPr>
      <w:r>
        <w:rPr>
          <w:rFonts w:ascii="Arial" w:cs="Arial" w:eastAsia="Arial" w:hAnsi="Arial"/>
          <w:b/>
          <w:bCs/>
          <w:sz w:val="22"/>
          <w:szCs w:val="22"/>
        </w:rPr>
        <w:t xml:space="preserve">Um limite interno da paginação descartava o resto do documento em silêncio.</w:t>
      </w:r>
      <w:r>
        <w:rPr>
          <w:rFonts w:ascii="Arial" w:cs="Arial" w:eastAsia="Arial" w:hAnsi="Arial"/>
          <w:sz w:val="22"/>
          <w:szCs w:val="22"/>
        </w:rPr>
        <w:t xml:space="preserve"> A rotina que monta as folhas tinha um limite de vinte mil passos e, ao alcançá-lo, jogava fora o que restava — sem aviso na tela e sem marca no documento. Uma escola que colasse uma lista longa num campo produzia um PDF que termina no meio dessa lista: sem as seções, sem as referências e sem a folha de assinaturas, entregue como se estivesse completo.</w:t>
      </w:r>
    </w:p>
    <w:p>
      <w:pPr>
        <w:pStyle w:val="Heading2"/>
        <w:spacing w:after="120" w:before="320"/>
      </w:pPr>
      <w:r>
        <w:rPr>
          <w:rFonts w:ascii="Arial" w:cs="Arial" w:eastAsia="Arial" w:hAnsi="Arial"/>
          <w:b/>
          <w:bCs/>
          <w:color w:val="000000"/>
          <w:sz w:val="24"/>
          <w:szCs w:val="24"/>
        </w:rPr>
        <w:t xml:space="preserve">3.7 Painel institucional, curadoria e exportações</w:t>
      </w:r>
    </w:p>
    <w:p>
      <w:pPr>
        <w:spacing w:after="160" w:line="288"/>
        <w:jc w:val="both"/>
      </w:pPr>
      <w:r>
        <w:rPr>
          <w:rFonts w:ascii="Arial" w:cs="Arial" w:eastAsia="Arial" w:hAnsi="Arial"/>
          <w:b/>
          <w:bCs/>
          <w:sz w:val="22"/>
          <w:szCs w:val="22"/>
        </w:rPr>
        <w:t xml:space="preserve">A curadoria tinha uma segunda porta do Órgão Central, mais fraca que a primeira.</w:t>
      </w:r>
      <w:r>
        <w:rPr>
          <w:rFonts w:ascii="Arial" w:cs="Arial" w:eastAsia="Arial" w:hAnsi="Arial"/>
          <w:sz w:val="22"/>
          <w:szCs w:val="22"/>
        </w:rPr>
        <w:t xml:space="preserve"> Uma versão anterior havia endurecido a entrada institucional, exigindo que a lista de curadores fosse conferida mesmo para quem entra por senha. A correção ficou apenas naquela porta. A segunda, usada para abrir a curadoria de textos, manteve a lógica antiga: para uma conta não identificada, a conferência da lista era pulada e a senha institucional sozinha abria sessão plena de Órgão Central, com alcance sobre os documentos, os acessos, as escolas e a homologação de toda a rede — e sem o aviso aos curadores que a outra porta dispara. A porta foi retirada: a curadoria passou a exigir a sessão aberta pela entrada única.</w:t>
      </w:r>
    </w:p>
    <w:p>
      <w:pPr>
        <w:spacing w:after="160" w:line="288"/>
        <w:jc w:val="both"/>
      </w:pPr>
      <w:r>
        <w:rPr>
          <w:rFonts w:ascii="Arial" w:cs="Arial" w:eastAsia="Arial" w:hAnsi="Arial"/>
          <w:b/>
          <w:bCs/>
          <w:sz w:val="22"/>
          <w:szCs w:val="22"/>
        </w:rPr>
        <w:t xml:space="preserve">A aba de histórico entregava a toda a Superintendência dados de estudantes menores e de responsáveis.</w:t>
      </w:r>
      <w:r>
        <w:rPr>
          <w:rFonts w:ascii="Arial" w:cs="Arial" w:eastAsia="Arial" w:hAnsi="Arial"/>
          <w:sz w:val="22"/>
          <w:szCs w:val="22"/>
        </w:rPr>
        <w:t xml:space="preserve"> É o mesmo defeito descrito em 3.2, encontrado de novo por uma varredura independente, agora pelo lado do painel institucional. O registro de duas descobertas é proposital: um vazamento de dado de criança encontrado por dois caminhos diferentes mede a gravidade melhor do que qualquer classificação.</w:t>
      </w:r>
    </w:p>
    <w:p>
      <w:pPr>
        <w:spacing w:after="160" w:line="288"/>
        <w:jc w:val="both"/>
      </w:pPr>
      <w:r>
        <w:rPr>
          <w:rFonts w:ascii="Arial" w:cs="Arial" w:eastAsia="Arial" w:hAnsi="Arial"/>
          <w:b/>
          <w:bCs/>
          <w:sz w:val="22"/>
          <w:szCs w:val="22"/>
        </w:rPr>
        <w:t xml:space="preserve">O texto revisado pela curadoria ia sem tratamento para a tela: injeção de programa com alcance de rede.</w:t>
      </w:r>
      <w:r>
        <w:rPr>
          <w:rFonts w:ascii="Arial" w:cs="Arial" w:eastAsia="Arial" w:hAnsi="Arial"/>
          <w:sz w:val="22"/>
          <w:szCs w:val="22"/>
        </w:rPr>
        <w:t xml:space="preserve"> A limpeza aplicada ao texto curado era uma única passada de três expressões de busca, e falhava em dois pontos independentes: remontava a marcação que pretendia retirar quando ela vinha partida ao meio, e só reconhecia manipuladores precedidos de espaço. O texto ia então diretamente para a tela, sem escape. Encadeado com a porta fraca da curadoria descrita acima, o resultado é grave: sem cadastro nenhum, alguém entrava como Órgão Central, publicava um texto e esse texto executava no navegador de quem abrisse o sistema em qualquer uma das escolas da rede. O tratamento passou a ser por lista branca de marcação, com escape no consumo.</w:t>
      </w:r>
    </w:p>
    <w:p>
      <w:pPr>
        <w:pStyle w:val="Heading2"/>
        <w:spacing w:after="120" w:before="320"/>
      </w:pPr>
      <w:r>
        <w:rPr>
          <w:rFonts w:ascii="Arial" w:cs="Arial" w:eastAsia="Arial" w:hAnsi="Arial"/>
          <w:b/>
          <w:bCs/>
          <w:color w:val="000000"/>
          <w:sz w:val="24"/>
          <w:szCs w:val="24"/>
        </w:rPr>
        <w:t xml:space="preserve">3.8 Rotinas do servidor e segurança transversal</w:t>
      </w:r>
    </w:p>
    <w:p>
      <w:pPr>
        <w:spacing w:after="160" w:line="288"/>
        <w:jc w:val="both"/>
      </w:pPr>
      <w:r>
        <w:rPr>
          <w:rFonts w:ascii="Arial" w:cs="Arial" w:eastAsia="Arial" w:hAnsi="Arial"/>
          <w:b/>
          <w:bCs/>
          <w:sz w:val="22"/>
          <w:szCs w:val="22"/>
        </w:rPr>
        <w:t xml:space="preserve">A definição da senha do Órgão Central era pública e não exigia sessão.</w:t>
      </w:r>
      <w:r>
        <w:rPr>
          <w:rFonts w:ascii="Arial" w:cs="Arial" w:eastAsia="Arial" w:hAnsi="Arial"/>
          <w:sz w:val="22"/>
          <w:szCs w:val="22"/>
        </w:rPr>
        <w:t xml:space="preserve"> No ambiente em que o sistema roda, toda função do servidor cujo nome não termina em sublinhado pode ser chamada por qualquer navegador que abra o endereço do aplicativo. A função que define a senha institucional estava nessa condição: não conferia sessão, não conferia se já havia senha e ainda zerava o contador de tentativas erradas. Um visitante anônimo escolhia a senha, entrava como Órgão Central e alcançava a rede inteira, enquanto o curador legítimo passava a receber "senha incorreta". Agravante: a trilha de auditoria atribuía a troca ao "editor do Apps Script", de modo que quem fosse conferir depois leria o contrário do que aconteceu. Dezoito rotinas de manutenção estavam na mesma condição — entre elas o backup, o expurgo da fila de e-mails, a rotação do histórico, a reescrita do painel e a medição de desempenho sobre a base real. A correção é estrutural e está na seção seguinte.</w:t>
      </w:r>
    </w:p>
    <w:p>
      <w:pPr>
        <w:pStyle w:val="Heading1"/>
        <w:pageBreakBefore/>
        <w:pBdr>
          <w:bottom w:val="single" w:color="BFBFBF" w:sz="4" w:space="6"/>
        </w:pBdr>
        <w:spacing w:after="240" w:before="0"/>
      </w:pPr>
      <w:r>
        <w:rPr>
          <w:rFonts w:ascii="Arial" w:cs="Arial" w:eastAsia="Arial" w:hAnsi="Arial"/>
          <w:b/>
          <w:bCs/>
          <w:color w:val="000000"/>
          <w:sz w:val="28"/>
          <w:szCs w:val="28"/>
        </w:rPr>
        <w:t xml:space="preserve">4. As correções estruturais</w:t>
      </w:r>
    </w:p>
    <w:p>
      <w:pPr>
        <w:spacing w:after="140" w:line="288"/>
        <w:jc w:val="both"/>
      </w:pPr>
      <w:r>
        <w:rPr>
          <w:rFonts w:ascii="Arial" w:cs="Arial" w:eastAsia="Arial" w:hAnsi="Arial"/>
          <w:sz w:val="22"/>
          <w:szCs w:val="22"/>
        </w:rPr>
        <w:t xml:space="preserve">Sete decisões deste ciclo não corrigem um comportamento: mudam como o sistema é feito. São elas que impedem que os mesmos defeitos voltem por uma porta nova, e são o que a equipe que vier a manter o sistema precisa preservar.</w:t>
      </w:r>
    </w:p>
    <w:p>
      <w:pPr>
        <w:spacing w:after="140" w:line="288"/>
        <w:jc w:val="both"/>
      </w:pPr>
      <w:r>
        <w:rPr>
          <w:rFonts w:ascii="Arial" w:cs="Arial" w:eastAsia="Arial" w:hAnsi="Arial"/>
          <w:sz w:val="22"/>
          <w:szCs w:val="22"/>
        </w:rPr>
        <w:t xml:space="preserve">A primeira é a porta única do servidor. Corrigir uma a uma as dezoito rotinas expostas seria consertar dezoito vezes o mesmo erro e deixar a décima nona para a próxima função que alguém escrevesse. As dezoito passaram a ter nome privado, que é o único mecanismo que de fato as retira do alcance do navegador; a tela passou a falar com uma função única, que procura o pedido numa lista declarada e recusa o que não estiver nela; os itens do menu da planilha passam por invólucros que recusam quando não estão sendo acionados de dentro da planilha. E a conferência estrutural do pacote passou a ler o próprio programa do servidor e a falhar quando aparecer uma função pública fora da lista. É a parte que dura: publicar uma função passou a ser uma decisão explícita, e não um descuido.</w:t>
      </w:r>
    </w:p>
    <w:p>
      <w:pPr>
        <w:spacing w:after="140" w:line="288"/>
        <w:jc w:val="both"/>
      </w:pPr>
      <w:r>
        <w:rPr>
          <w:rFonts w:ascii="Arial" w:cs="Arial" w:eastAsia="Arial" w:hAnsi="Arial"/>
          <w:sz w:val="22"/>
          <w:szCs w:val="22"/>
        </w:rPr>
        <w:t xml:space="preserve">A segunda é a conferência do cabeçalho da planilha pelo nome. As colunas eram localizadas por posição, e ninguém verificava se a coluna daquela posição era a esperada. Uma coluna inserida no meio de uma aba — coisa que se faz numa tarde qualquer, sem má intenção — deslocava tudo o que vem depois e corrompia a base em silêncio, gravando nome onde se espera matrícula e data onde se espera situação. A conferência corre antes de qualquer operação e recusa a operação inteira quando o cabeçalho não bate.</w:t>
      </w:r>
    </w:p>
    <w:p>
      <w:pPr>
        <w:spacing w:after="140" w:line="288"/>
        <w:jc w:val="both"/>
      </w:pPr>
      <w:r>
        <w:rPr>
          <w:rFonts w:ascii="Arial" w:cs="Arial" w:eastAsia="Arial" w:hAnsi="Arial"/>
          <w:sz w:val="22"/>
          <w:szCs w:val="22"/>
        </w:rPr>
        <w:t xml:space="preserve">A terceira é a trava em toda gravação, com número de revisão na linha. A trava fecha a corrida que desfazia conclusões e validações. O número de revisão resolve o caso em que duas abas da mesma escola gravam em sequência, cada uma apagando o texto da outra sem que ninguém percebesse: a segunda gravação é recusada, o texto continua na tela e no rascunho, e quem está escrevendo escolhe entre ver o que está gravado ou gravar o seu por cima — escolha que fica registrada na linha do tempo do documento.</w:t>
      </w:r>
    </w:p>
    <w:p>
      <w:pPr>
        <w:spacing w:after="140" w:line="288"/>
        <w:jc w:val="both"/>
      </w:pPr>
      <w:r>
        <w:rPr>
          <w:rFonts w:ascii="Arial" w:cs="Arial" w:eastAsia="Arial" w:hAnsi="Arial"/>
          <w:sz w:val="22"/>
          <w:szCs w:val="22"/>
        </w:rPr>
        <w:t xml:space="preserve">A quarta é a lista branca de campos vindos da tela. Numa lista de exceções, o esquecimento abre a porta; numa lista branca, o esquecimento a fecha. Cada coluna do registro declara, no programa, se é escrita pela escola, e os atos de terceiros — ata, homologação, validação, anexos — só são gravados pelas funções que os praticam.</w:t>
      </w:r>
    </w:p>
    <w:p>
      <w:pPr>
        <w:spacing w:after="140" w:line="288"/>
        <w:jc w:val="both"/>
      </w:pPr>
      <w:r>
        <w:rPr>
          <w:rFonts w:ascii="Arial" w:cs="Arial" w:eastAsia="Arial" w:hAnsi="Arial"/>
          <w:sz w:val="22"/>
          <w:szCs w:val="22"/>
        </w:rPr>
        <w:t xml:space="preserve">A quinta é a folha de estilo única do documento. A tela e o PDF eram duas descrições tipográficas mantidas à mão, em arquivos diferentes, e por isso paginavam diferente: o que a escola via não era o que sairia impresso. Passou a existir um arquivo único, incluído pela tela e emitido pelo servidor na conversão em PDF. Ele é obrigatório no projeto e consta das providências de instalação.</w:t>
      </w:r>
    </w:p>
    <w:p>
      <w:pPr>
        <w:spacing w:after="140" w:line="288"/>
        <w:jc w:val="both"/>
      </w:pPr>
      <w:r>
        <w:rPr>
          <w:rFonts w:ascii="Arial" w:cs="Arial" w:eastAsia="Arial" w:hAnsi="Arial"/>
          <w:sz w:val="22"/>
          <w:szCs w:val="22"/>
        </w:rPr>
        <w:t xml:space="preserve">A sexta é a folha de assinaturas paginada pelo servidor, de forma determinística, como seção do documento e dentro das margens do Padrão Ofício, com o código de autenticidade no pé como em todas as outras folhas.</w:t>
      </w:r>
    </w:p>
    <w:p>
      <w:pPr>
        <w:spacing w:after="140" w:line="288"/>
        <w:jc w:val="both"/>
      </w:pPr>
      <w:r>
        <w:rPr>
          <w:rFonts w:ascii="Arial" w:cs="Arial" w:eastAsia="Arial" w:hAnsi="Arial"/>
          <w:sz w:val="22"/>
          <w:szCs w:val="22"/>
        </w:rPr>
        <w:t xml:space="preserve">A sétima é a quinta bateria de verificação. As quatro baterias existentes rodam num ambiente de documento simulado em que não há medida de página, e nele a paginação devolve sempre uma folha só. Isso significa que nenhuma das verificações anteriores chegava a exercitar o corte de página, o rodapé por folha ou a montagem do PDF — e é por isso que treze achados da área do documento atravessaram tantas versões em verde. A bateria nova roda a demonstração num navegador de verdade e mede o que só o navegador sabe: se alguma referência sumiu, se algum elemento ultrapassou a borda da folha, se a tela e o papel paginam igual, se um título ficou sozinho no pé de uma página, se o sumário aponta para a página certa e se a margem esquerda está a trinta milímetros em todas as folhas. Onde não houver navegador instalado, ela avisa e é pulada, sem quebrar o pacote.</w:t>
      </w:r>
    </w:p>
    <w:p>
      <w:pPr>
        <w:pStyle w:val="Heading1"/>
        <w:pageBreakBefore/>
        <w:pBdr>
          <w:bottom w:val="single" w:color="BFBFBF" w:sz="4" w:space="6"/>
        </w:pBdr>
        <w:spacing w:after="240" w:before="0"/>
      </w:pPr>
      <w:r>
        <w:rPr>
          <w:rFonts w:ascii="Arial" w:cs="Arial" w:eastAsia="Arial" w:hAnsi="Arial"/>
          <w:b/>
          <w:bCs/>
          <w:color w:val="000000"/>
          <w:sz w:val="28"/>
          <w:szCs w:val="28"/>
        </w:rPr>
        <w:t xml:space="preserve">5. Proteção de dados pessoais (LGPD)</w:t>
      </w:r>
    </w:p>
    <w:p>
      <w:pPr>
        <w:spacing w:after="140" w:line="288"/>
        <w:jc w:val="both"/>
      </w:pPr>
      <w:r>
        <w:rPr>
          <w:rFonts w:ascii="Arial" w:cs="Arial" w:eastAsia="Arial" w:hAnsi="Arial"/>
          <w:sz w:val="22"/>
          <w:szCs w:val="22"/>
        </w:rPr>
        <w:t xml:space="preserve">O sistema guarda dados de servidores da rede, que têm cadastro funcional e sabem que o têm. Guarda também dados de quem não pediu para estar nele. Desde a versão 8.12, o membro do Colegiado Escolar que não é servidor declara, ao ser cadastrado, a sua relação com a escola: de que estudante é responsável e de que turma, ou que entidade da comunidade representa. É um dado legítimo e necessário — é o que a escola precisará dois anos depois, quando alguém perguntar quem era o representante das famílias que assinou aquele documento. Mas ele identifica, pelo intermédio do responsável, uma criança, por ano e turma. Um dado assim não se trata como os demais.</w:t>
      </w:r>
    </w:p>
    <w:p>
      <w:pPr>
        <w:spacing w:after="140" w:line="288"/>
        <w:jc w:val="both"/>
      </w:pPr>
      <w:r>
        <w:rPr>
          <w:rFonts w:ascii="Arial" w:cs="Arial" w:eastAsia="Arial" w:hAnsi="Arial"/>
          <w:sz w:val="22"/>
          <w:szCs w:val="22"/>
        </w:rPr>
        <w:t xml:space="preserve">A auditoria encontrou cinco caminhos pelos quais dado pessoal saía do lugar onde deveria ficar.</w:t>
      </w:r>
    </w:p>
    <w:p>
      <w:pPr>
        <w:pStyle w:val="ListParagraph"/>
        <w:numPr>
          <w:ilvl w:val="0"/>
          <w:numId w:val="1"/>
        </w:numPr>
        <w:spacing w:after="100" w:line="288"/>
        <w:jc w:val="both"/>
      </w:pPr>
      <w:r>
        <w:rPr>
          <w:rFonts w:ascii="Arial" w:cs="Arial" w:eastAsia="Arial" w:hAnsi="Arial"/>
          <w:sz w:val="22"/>
          <w:szCs w:val="22"/>
        </w:rPr>
        <w:t xml:space="preserve">A aba de histórico de acessos entregava nome, e-mail pessoal e a relação com a escola a toda a Superintendência, inclusive aos dois papéis da Inspeção, que apenas acompanham e não mantêm cadastro de ninguém.</w:t>
      </w:r>
    </w:p>
    <w:p>
      <w:pPr>
        <w:pStyle w:val="ListParagraph"/>
        <w:numPr>
          <w:ilvl w:val="0"/>
          <w:numId w:val="1"/>
        </w:numPr>
        <w:spacing w:after="100" w:line="288"/>
        <w:jc w:val="both"/>
      </w:pPr>
      <w:r>
        <w:rPr>
          <w:rFonts w:ascii="Arial" w:cs="Arial" w:eastAsia="Arial" w:hAnsi="Arial"/>
          <w:sz w:val="22"/>
          <w:szCs w:val="22"/>
        </w:rPr>
        <w:t xml:space="preserve">A porta pública de conferência devolvia, sem sessão nenhuma, o endereço institucional de quem validou e de quem homologou o documento, porque o campo era montado com o nome ou, na falta dele, com o próprio endereço de acesso — o que é sempre o caso de quem entra pela conta institucional.</w:t>
      </w:r>
    </w:p>
    <w:p>
      <w:pPr>
        <w:pStyle w:val="ListParagraph"/>
        <w:numPr>
          <w:ilvl w:val="0"/>
          <w:numId w:val="1"/>
        </w:numPr>
        <w:spacing w:after="100" w:line="288"/>
        <w:jc w:val="both"/>
      </w:pPr>
      <w:r>
        <w:rPr>
          <w:rFonts w:ascii="Arial" w:cs="Arial" w:eastAsia="Arial" w:hAnsi="Arial"/>
          <w:sz w:val="22"/>
          <w:szCs w:val="22"/>
        </w:rPr>
        <w:t xml:space="preserve">A mesma porta pública imprimia nome e matrícula funcional de todos os signatários na folha de assinaturas, e o código de doze caracteres que dá acesso a ela é enviado por e-mail a cada membro presente à reunião.</w:t>
      </w:r>
    </w:p>
    <w:p>
      <w:pPr>
        <w:pStyle w:val="ListParagraph"/>
        <w:numPr>
          <w:ilvl w:val="0"/>
          <w:numId w:val="1"/>
        </w:numPr>
        <w:spacing w:after="100" w:line="288"/>
        <w:jc w:val="both"/>
      </w:pPr>
      <w:r>
        <w:rPr>
          <w:rFonts w:ascii="Arial" w:cs="Arial" w:eastAsia="Arial" w:hAnsi="Arial"/>
          <w:sz w:val="22"/>
          <w:szCs w:val="22"/>
        </w:rPr>
        <w:t xml:space="preserve">A Superintendência podia baixar uma planilha com nome, matrícula e e-mail pessoal dos diretores: a política que reservava a extração em massa ao Órgão Central cobria duas das três planilhas e deixara de fora justamente a que tem mais dado pessoal.</w:t>
      </w:r>
    </w:p>
    <w:p>
      <w:pPr>
        <w:pStyle w:val="ListParagraph"/>
        <w:numPr>
          <w:ilvl w:val="0"/>
          <w:numId w:val="1"/>
        </w:numPr>
        <w:spacing w:after="100" w:line="288"/>
        <w:jc w:val="both"/>
      </w:pPr>
      <w:r>
        <w:rPr>
          <w:rFonts w:ascii="Arial" w:cs="Arial" w:eastAsia="Arial" w:hAnsi="Arial"/>
          <w:sz w:val="22"/>
          <w:szCs w:val="22"/>
        </w:rPr>
        <w:t xml:space="preserve">A relação com a escola era gravada também na observação do registro de gestores — aba que o próprio programa declara permanente, que nenhuma rotina apaga e que a remoção do cadastro não tocava. O vínculo nominal entre um responsável e um estudante identificado ficava sem caminho de exclusão.</w:t>
      </w:r>
    </w:p>
    <w:p>
      <w:pPr>
        <w:spacing w:after="140" w:line="288"/>
        <w:jc w:val="both"/>
      </w:pPr>
      <w:r>
        <w:rPr>
          <w:rFonts w:ascii="Arial" w:cs="Arial" w:eastAsia="Arial" w:hAnsi="Arial"/>
          <w:sz w:val="22"/>
          <w:szCs w:val="22"/>
        </w:rPr>
        <w:t xml:space="preserve">A resposta foi minimização, e não apagamento de registro. O histórico passou a mostrar apenas o que aquele acesso mantém, e o Colegiado de uma escola é visto pela direção dela e por mais ninguém. A porta pública devolve um nome, nunca um endereço de acesso. As três planilhas passaram a seguir uma política só, e baixar planilha é do Órgão Central. E a relação com a escola deixou de ser escrita no registro permanente: fica apenas no cadastro, que a direção da escola lê e que a remoção do acesso apaga junto com a linha. Remover o cadastro de um membro do Colegiado tarja o que já estiver gravado na observação, que passa a registrar apenas o segmento e a menção de que a relação foi removida com o cadastro; o período, a pessoa, as datas, quem registrou e quem encerrou permanecem, e a própria tarja fica registrada. Não se apaga histórico; tira-se o detalhe livre sobre um terceiro.</w:t>
      </w:r>
    </w:p>
    <w:p>
      <w:pPr>
        <w:spacing w:after="140" w:line="288"/>
        <w:jc w:val="both"/>
      </w:pPr>
      <w:r>
        <w:rPr>
          <w:rFonts w:ascii="Arial" w:cs="Arial" w:eastAsia="Arial" w:hAnsi="Arial"/>
          <w:sz w:val="22"/>
          <w:szCs w:val="22"/>
        </w:rPr>
        <w:t xml:space="preserve">Quanto à matrícula funcional na folha de assinaturas, a decisão de engenharia foi imprimi-la de forma mascarada, com três dígitos à mostra. Isso a mantém conferível por quem já tem o número — o que preserva a utilidade da folha em processo — e a retira do alcance de quem apenas abre o documento pela porta pública. O nome completo e o segmento continuam impressos, porque a composição do Colegiado Escolar é ato público e a folha existe precisamente para dizer quem aprovou o documento. A matrícula inteira continua no cadastro, no painel e nas telas sob sessão. A folha é remontada a cada leitura, de modo que a forma mascarada vale de imediato para documentos novos e antigos na consulta em tela; os PDFs já gerados e guardados não são regerados, porque regerar um documento que foi assinado é exatamente o que esta versão existe para impedir, e por isso conservam a matrícula inteira. O código de autenticidade não muda com isso: ele responde pelo conteúdo congelado na conclusão, não pela folha.</w:t>
      </w:r>
    </w:p>
    <w:p>
      <w:pPr>
        <w:spacing w:after="140" w:line="288"/>
        <w:jc w:val="both"/>
      </w:pPr>
      <w:r>
        <w:rPr>
          <w:rFonts w:ascii="Arial" w:cs="Arial" w:eastAsia="Arial" w:hAnsi="Arial"/>
          <w:sz w:val="22"/>
          <w:szCs w:val="22"/>
        </w:rPr>
        <w:t xml:space="preserve">Duas observações completam o quadro, porque omiti-las não seria honesto. Os backups anteriores a esta versão conservam o texto antigo da observação, e saem da janela de retenção com o tempo. E a conferência pública continua anônima por desenho: não há como saber quem conferiu o quê — é o preço de permitir que qualquer cidadão com o papel na mão confirme a autenticidade do que tem.</w:t>
      </w:r>
    </w:p>
    <w:p>
      <w:pPr>
        <w:pStyle w:val="Heading1"/>
        <w:pageBreakBefore/>
        <w:pBdr>
          <w:bottom w:val="single" w:color="BFBFBF" w:sz="4" w:space="6"/>
        </w:pBdr>
        <w:spacing w:after="240" w:before="0"/>
      </w:pPr>
      <w:r>
        <w:rPr>
          <w:rFonts w:ascii="Arial" w:cs="Arial" w:eastAsia="Arial" w:hAnsi="Arial"/>
          <w:b/>
          <w:bCs/>
          <w:color w:val="000000"/>
          <w:sz w:val="28"/>
          <w:szCs w:val="28"/>
        </w:rPr>
        <w:t xml:space="preserve">6. Decisões em aberto e o que depende da Secretaria</w:t>
      </w:r>
    </w:p>
    <w:p>
      <w:pPr>
        <w:spacing w:after="140" w:line="288"/>
        <w:jc w:val="both"/>
      </w:pPr>
      <w:r>
        <w:rPr>
          <w:rFonts w:ascii="Arial" w:cs="Arial" w:eastAsia="Arial" w:hAnsi="Arial"/>
          <w:sz w:val="22"/>
          <w:szCs w:val="22"/>
        </w:rPr>
        <w:t xml:space="preserve">Nem todo achado virou correção, e isso foi decidido, não esquecido. O critério foi um só: nenhuma correção pode custar mais do que o defeito que corrige. Esta seção separa o que já está decidido no plano técnico do que precisa de definição administrativa.</w:t>
      </w:r>
    </w:p>
    <w:p>
      <w:pPr>
        <w:pStyle w:val="Heading2"/>
        <w:spacing w:after="120" w:before="320"/>
      </w:pPr>
      <w:r>
        <w:rPr>
          <w:rFonts w:ascii="Arial" w:cs="Arial" w:eastAsia="Arial" w:hAnsi="Arial"/>
          <w:b/>
          <w:bCs/>
          <w:color w:val="000000"/>
          <w:sz w:val="24"/>
          <w:szCs w:val="24"/>
        </w:rPr>
        <w:t xml:space="preserve">6.1 Decisões de engenharia, já tomadas</w:t>
      </w:r>
    </w:p>
    <w:p>
      <w:pPr>
        <w:spacing w:after="140" w:line="288"/>
        <w:jc w:val="both"/>
      </w:pPr>
      <w:r>
        <w:rPr>
          <w:rFonts w:ascii="Arial" w:cs="Arial" w:eastAsia="Arial" w:hAnsi="Arial"/>
          <w:sz w:val="22"/>
          <w:szCs w:val="22"/>
        </w:rPr>
        <w:t xml:space="preserve">Não há rotina que reescreva registro já gravado. As inconsistências antigas do registro de gestores continuam gravadas e passaram a ser corrigidas na leitura; as homologações e atas que foram gravadas pelo caminho hoje fechado não são reescritas em massa; o texto já publicado na curadoria não é reescrito. Escrever numa aba declarada permanente para apagar o rastro de um defeito do sistema destrói a prova de que ele existiu, e reescrever campo de ato de terceiro num documento oficial, sem que alguém leia o resultado, é um estrago maior do que o rastro. No lugar disso entraram duas conferências de leitura no menu da planilha — uma que lista homologações gravadas sem o ato correspondente na linha do tempo, outra que lista códigos de autenticidade repetidos —, para que quem recebe uma base já em uso saiba o que tem antes de decidir caso a caso.</w:t>
      </w:r>
    </w:p>
    <w:p>
      <w:pPr>
        <w:spacing w:after="140" w:line="288"/>
        <w:jc w:val="both"/>
      </w:pPr>
      <w:r>
        <w:rPr>
          <w:rFonts w:ascii="Arial" w:cs="Arial" w:eastAsia="Arial" w:hAnsi="Arial"/>
          <w:sz w:val="22"/>
          <w:szCs w:val="22"/>
        </w:rPr>
        <w:t xml:space="preserve">Não se mexe em documento concluído. O código de autenticidade dos documentos já emitidos não é recalculado, embora a unicidade esteja garantida para os novos: o código está impresso no rodapé de páginas que já circularam e de papel já assinado, e mudá-lo faria a conferência pública negar documentos legítimos. Havendo colisão numa base real, a decisão é administrativa — nova versão do documento mais novo — e a conferência acima a encontra. Pela mesma razão, os documentos congelados anteriores conservam as caixas de assinatura duplicadas e os registros já gravados não são renumerados.</w:t>
      </w:r>
    </w:p>
    <w:p>
      <w:pPr>
        <w:spacing w:after="140" w:line="288"/>
        <w:jc w:val="both"/>
      </w:pPr>
      <w:r>
        <w:rPr>
          <w:rFonts w:ascii="Arial" w:cs="Arial" w:eastAsia="Arial" w:hAnsi="Arial"/>
          <w:sz w:val="22"/>
          <w:szCs w:val="22"/>
        </w:rPr>
        <w:t xml:space="preserve">Não existe, e não existirá sem trabalho próprio, a troca do código de uma escola com migração dos cadastros, dos períodos do histórico e dos documentos. É a operação de maior superfície de estrago do sistema. O que a versão entrega no lugar é o caminho de resgate pela Superintendência, que funciona e está provado, e a instrução de tela corrigida, de modo que ninguém seja levado a um beco sem saída.</w:t>
      </w:r>
    </w:p>
    <w:p>
      <w:pPr>
        <w:spacing w:after="140" w:line="288"/>
        <w:jc w:val="both"/>
      </w:pPr>
      <w:r>
        <w:rPr>
          <w:rFonts w:ascii="Arial" w:cs="Arial" w:eastAsia="Arial" w:hAnsi="Arial"/>
          <w:sz w:val="22"/>
          <w:szCs w:val="22"/>
        </w:rPr>
        <w:t xml:space="preserve">Cerca de cinquenta funções do servidor que exigem sessão continuam com nome público, deliberadamente. Não há entre elas um único defeito de alcance — todas conferem sessão e escopo. Fechá-las agora derrubaria toda aba aberta no momento da implantação; a porta única já existe para que sejam fechadas uma a uma, quando se quiser, sem tocar na tela outra vez.</w:t>
      </w:r>
    </w:p>
    <w:p>
      <w:pPr>
        <w:pStyle w:val="Heading2"/>
        <w:spacing w:after="120" w:before="320"/>
      </w:pPr>
      <w:r>
        <w:rPr>
          <w:rFonts w:ascii="Arial" w:cs="Arial" w:eastAsia="Arial" w:hAnsi="Arial"/>
          <w:b/>
          <w:bCs/>
          <w:color w:val="000000"/>
          <w:sz w:val="24"/>
          <w:szCs w:val="24"/>
        </w:rPr>
        <w:t xml:space="preserve">6.2 O que depende de decisão da Secretaria</w:t>
      </w:r>
    </w:p>
    <w:p>
      <w:pPr>
        <w:spacing w:after="140" w:line="288"/>
        <w:jc w:val="both"/>
      </w:pPr>
      <w:r>
        <w:rPr>
          <w:rFonts w:ascii="Arial" w:cs="Arial" w:eastAsia="Arial" w:hAnsi="Arial"/>
          <w:sz w:val="22"/>
          <w:szCs w:val="22"/>
        </w:rPr>
        <w:t xml:space="preserve">Três pontos não são de engenharia. O sistema adotou em cada um a posição mais conservadora que não inviabiliza o uso, e deixou a decisão formulada.</w:t>
      </w:r>
    </w:p>
    <w:p>
      <w:pPr>
        <w:pStyle w:val="ListParagraph"/>
        <w:numPr>
          <w:ilvl w:val="0"/>
          <w:numId w:val="1"/>
        </w:numPr>
        <w:spacing w:after="100" w:line="288"/>
        <w:jc w:val="both"/>
      </w:pPr>
      <w:r>
        <w:rPr>
          <w:rFonts w:ascii="Arial" w:cs="Arial" w:eastAsia="Arial" w:hAnsi="Arial"/>
          <w:sz w:val="22"/>
          <w:szCs w:val="22"/>
        </w:rPr>
        <w:t xml:space="preserve">A matrícula funcional na folha de assinaturas. Hoje sai mascarada, com três dígitos à mostra. Se a folha tiver, em processo, valor de identificação funcional, a Secretaria pode querer o número inteiro; se quiser menos do que três dígitos, também é possível. É uma alteração de uma única função do sistema, e vale para os documentos gerados daí em diante.</w:t>
      </w:r>
    </w:p>
    <w:p>
      <w:pPr>
        <w:pStyle w:val="ListParagraph"/>
        <w:numPr>
          <w:ilvl w:val="0"/>
          <w:numId w:val="1"/>
        </w:numPr>
        <w:spacing w:after="100" w:line="288"/>
        <w:jc w:val="both"/>
      </w:pPr>
      <w:r>
        <w:rPr>
          <w:rFonts w:ascii="Arial" w:cs="Arial" w:eastAsia="Arial" w:hAnsi="Arial"/>
          <w:sz w:val="22"/>
          <w:szCs w:val="22"/>
        </w:rPr>
        <w:t xml:space="preserve">A conferência pública anônima. Quem tem o código de doze caracteres confere o documento sem entrar no sistema e sem se identificar, e é isso que faz a conferência valer para qualquer cidadão. O preço é não haver registro de quem consultou o quê. Exigir identificação mudaria a natureza da porta; a recomendação técnica é mantê-la anônima e continuar controlando o que ela devolve, e não para quem.</w:t>
      </w:r>
    </w:p>
    <w:p>
      <w:pPr>
        <w:pStyle w:val="ListParagraph"/>
        <w:numPr>
          <w:ilvl w:val="0"/>
          <w:numId w:val="1"/>
        </w:numPr>
        <w:spacing w:after="100" w:line="288"/>
        <w:jc w:val="both"/>
      </w:pPr>
      <w:r>
        <w:rPr>
          <w:rFonts w:ascii="Arial" w:cs="Arial" w:eastAsia="Arial" w:hAnsi="Arial"/>
          <w:sz w:val="22"/>
          <w:szCs w:val="22"/>
        </w:rPr>
        <w:t xml:space="preserve">A retenção do registro de gestores. A aba que responde, dois anos depois, quem assinou o PPP de uma escola guarda nome, e-mail, matrícula e períodos, e nenhuma rotina do sistema apaga linha nela. Não há política de retenção escrita, porque prazo de guarda de registro funcional é decisão de política pública. Enquanto não houver, o sistema guarda tudo.</w:t>
      </w:r>
    </w:p>
    <w:p>
      <w:pPr>
        <w:pStyle w:val="ListParagraph"/>
        <w:numPr>
          <w:ilvl w:val="0"/>
          <w:numId w:val="1"/>
        </w:numPr>
        <w:spacing w:after="100" w:line="288"/>
        <w:jc w:val="both"/>
      </w:pPr>
      <w:r>
        <w:rPr>
          <w:rFonts w:ascii="Arial" w:cs="Arial" w:eastAsia="Arial" w:hAnsi="Arial"/>
          <w:sz w:val="22"/>
          <w:szCs w:val="22"/>
        </w:rPr>
        <w:t xml:space="preserve">O fim das exportações em planilha pela Superintendência. Até a versão anterior a regional extraía três planilhas do sistema, e uma delas levava junto nome, e-mail e matrícula de servidores. A partir desta versão, baixar planilha é do Órgão Central; a regional mantém as três abas na tela, com busca, filtro, reenvio de convite e cópia do link de primeiro acesso. Não se perdeu informação — perdeu-se a extração em massa. É mudança de rotina de trabalho para 47 Superintendências e merece constar da comunicação de implantação.</w:t>
      </w:r>
    </w:p>
    <w:p>
      <w:pPr>
        <w:pStyle w:val="Heading1"/>
        <w:pageBreakBefore/>
        <w:pBdr>
          <w:bottom w:val="single" w:color="BFBFBF" w:sz="4" w:space="6"/>
        </w:pBdr>
        <w:spacing w:after="240" w:before="0"/>
      </w:pPr>
      <w:r>
        <w:rPr>
          <w:rFonts w:ascii="Arial" w:cs="Arial" w:eastAsia="Arial" w:hAnsi="Arial"/>
          <w:b/>
          <w:bCs/>
          <w:color w:val="000000"/>
          <w:sz w:val="28"/>
          <w:szCs w:val="28"/>
        </w:rPr>
        <w:t xml:space="preserve">7. Verificação e evidências</w:t>
      </w:r>
    </w:p>
    <w:p>
      <w:pPr>
        <w:spacing w:after="140" w:line="288"/>
        <w:jc w:val="both"/>
      </w:pPr>
      <w:r>
        <w:rPr>
          <w:rFonts w:ascii="Arial" w:cs="Arial" w:eastAsia="Arial" w:hAnsi="Arial"/>
          <w:sz w:val="22"/>
          <w:szCs w:val="22"/>
        </w:rPr>
        <w:t xml:space="preserve">O pacote sai com 2.927 verificações automatizadas, todas em verde, distribuídas em cinco baterias: 1.838 do programa do servidor, 668 do fluxo completo, 389 de borda e restauração, 32 da paginação medida em navegador, mais a conferência estrutural, que não conta verificações e falha por inteiro quando algo não bate. Cada uma das 77 correções entrou com o seu próprio teste, e cada teste foi conferido dos dois lados: falha sem a correção, passa com ela.</w:t>
      </w:r>
    </w:p>
    <w:p>
      <w:pPr>
        <w:spacing w:after="140" w:line="288"/>
        <w:jc w:val="both"/>
      </w:pPr>
      <w:r>
        <w:rPr>
          <w:rFonts w:ascii="Arial" w:cs="Arial" w:eastAsia="Arial" w:hAnsi="Arial"/>
          <w:sz w:val="22"/>
          <w:szCs w:val="22"/>
        </w:rPr>
        <w:t xml:space="preserve">O PDF de exemplo que acompanha o pacote foi gerado com esta versão e conferido página a página com as ferramentas de leitura de arquivos PDF, e não pela leitura da tela — que é onde o defeito se esconde. Foram medidos: trinta páginas em A4; as 76 referências completas; a folha de assinaturas nas páginas 29 e 30, com as nove assinaturas registradas, a ata, o encaminhamento e a homologação; o rodapé com o código de autenticidade nas trinta páginas; a primeira folha sem número e as demais numeradas em sequência; nenhuma página com texto fora das margens do Padrão Ofício; e a matrícula impressa de forma mascarada.</w:t>
      </w:r>
    </w:p>
    <w:p>
      <w:pPr>
        <w:spacing w:after="140" w:line="288"/>
        <w:jc w:val="both"/>
      </w:pPr>
      <w:r>
        <w:rPr>
          <w:rFonts w:ascii="Arial" w:cs="Arial" w:eastAsia="Arial" w:hAnsi="Arial"/>
          <w:sz w:val="22"/>
          <w:szCs w:val="22"/>
        </w:rPr>
        <w:t xml:space="preserve">A demonstração foi percorrida em navegador nos quatro perfis de acesso e nos oito papéis, em tela de computador e em tela de telefone, abrindo cada aba e cada botão não destrutivo, sem um único erro de execução. Foram reexaminados, em particular, o ciclo do documento com gravações simultâneas, a troca da ata antes e depois da primeira assinatura, a curadoria com dois curadores ao mesmo tempo, a fila de e-mails em suas três fases e a porta pública com código verdadeiro, código falso e entradas hostis.</w:t>
      </w:r>
    </w:p>
    <w:p>
      <w:pPr>
        <w:spacing w:after="140" w:line="288"/>
        <w:jc w:val="both"/>
      </w:pPr>
      <w:r>
        <w:rPr>
          <w:rFonts w:ascii="Arial" w:cs="Arial" w:eastAsia="Arial" w:hAnsi="Arial"/>
          <w:sz w:val="22"/>
          <w:szCs w:val="22"/>
        </w:rPr>
        <w:t xml:space="preserve">Uma observação de método merece registro, porque contraria o que uma bateria em verde parece dizer. Uma verificação que passa pode estar protegendo o defeito em vez de impedi-lo: ao corrigir o vínculo de um documento com a escola, descobriu-se que as verificações existentes exercitavam justamente o comportamento errado, e portanto o defendiam contra mudança. Do mesmo modo, um ambiente simulado mais permissivo que o mundo real esconde defeito de produção — o do sistema aceitava uma escrita que na planilha real interrompe a carga inteira, e guardava sem alteração um texto começado por sinal de igual, que na planilha real vira fórmula e é substituído pelo resultado dela. Os dois defeitos passavam por todas as baterias sem uma falha. O ambiente simulado foi corrigido em três pontos e só então aqueles testes passaram a medir alguma coisa. A conclusão prática, para quem mantiver o sistema, é que a bateria precisa ser auditada com o mesmo rigor que o programa.</w:t>
      </w:r>
    </w:p>
    <w:p>
      <w:pPr>
        <w:spacing w:after="140" w:line="288"/>
        <w:jc w:val="both"/>
      </w:pPr>
      <w:r>
        <w:rPr>
          <w:rFonts w:ascii="Arial" w:cs="Arial" w:eastAsia="Arial" w:hAnsi="Arial"/>
          <w:sz w:val="22"/>
          <w:szCs w:val="22"/>
        </w:rPr>
        <w:t xml:space="preserve">Toda a evidência da auditoria — os roteiros de reprodução, as saídas de comando e as capturas de tela — foi mantida fora do pacote entregue, que contém apenas os arquivos de entrega.</w:t>
      </w:r>
    </w:p>
    <w:p>
      <w:pPr>
        <w:pStyle w:val="Heading1"/>
        <w:pageBreakBefore/>
        <w:pBdr>
          <w:bottom w:val="single" w:color="BFBFBF" w:sz="4" w:space="6"/>
        </w:pBdr>
        <w:spacing w:after="240" w:before="0"/>
      </w:pPr>
      <w:r>
        <w:rPr>
          <w:rFonts w:ascii="Arial" w:cs="Arial" w:eastAsia="Arial" w:hAnsi="Arial"/>
          <w:b/>
          <w:bCs/>
          <w:color w:val="000000"/>
          <w:sz w:val="28"/>
          <w:szCs w:val="28"/>
        </w:rPr>
        <w:t xml:space="preserve">8. Providências de implantação</w:t>
      </w:r>
    </w:p>
    <w:p>
      <w:pPr>
        <w:spacing w:after="140" w:line="288"/>
        <w:jc w:val="both"/>
      </w:pPr>
      <w:r>
        <w:rPr>
          <w:rFonts w:ascii="Arial" w:cs="Arial" w:eastAsia="Arial" w:hAnsi="Arial"/>
          <w:sz w:val="22"/>
          <w:szCs w:val="22"/>
        </w:rPr>
        <w:t xml:space="preserve">A atualização de uma base já em uso exige sete providências, todas rápidas, e nenhuma delas apaga informação. Elas estão descritas em detalhe no documento de instalação que acompanha o pacote; abaixo, o resumo para planejamento.</w:t>
      </w:r>
    </w:p>
    <w:p>
      <w:pPr>
        <w:pStyle w:val="ListParagraph"/>
        <w:numPr>
          <w:ilvl w:val="0"/>
          <w:numId w:val="1"/>
        </w:numPr>
        <w:spacing w:after="100" w:line="288"/>
        <w:jc w:val="both"/>
      </w:pPr>
      <w:r>
        <w:rPr>
          <w:rFonts w:ascii="Arial" w:cs="Arial" w:eastAsia="Arial" w:hAnsi="Arial"/>
          <w:sz w:val="22"/>
          <w:szCs w:val="22"/>
        </w:rPr>
        <w:t xml:space="preserve">Uma coluna nova é criada sozinha na primeira execução, ao final da aba de registros, para guardar a revisão de cada linha. Não há nada a digitar, e toda linha já gravada continua funcionando sem conversão. Se a base vier de versão anterior à 8.12, entram junto, do mesmo modo, as colunas daquela versão.</w:t>
      </w:r>
    </w:p>
    <w:p>
      <w:pPr>
        <w:pStyle w:val="ListParagraph"/>
        <w:numPr>
          <w:ilvl w:val="0"/>
          <w:numId w:val="1"/>
        </w:numPr>
        <w:spacing w:after="100" w:line="288"/>
        <w:jc w:val="both"/>
      </w:pPr>
      <w:r>
        <w:rPr>
          <w:rFonts w:ascii="Arial" w:cs="Arial" w:eastAsia="Arial" w:hAnsi="Arial"/>
          <w:sz w:val="22"/>
          <w:szCs w:val="22"/>
        </w:rPr>
        <w:t xml:space="preserve">Acrescentar ao projeto o arquivo novo que traz a folha de estilo do documento. Sem ele o sistema continua funcionando, mas o PDF sai com a tipografia padrão do conversor, e a tela e o papel voltam a divergir.</w:t>
      </w:r>
    </w:p>
    <w:p>
      <w:pPr>
        <w:pStyle w:val="ListParagraph"/>
        <w:numPr>
          <w:ilvl w:val="0"/>
          <w:numId w:val="1"/>
        </w:numPr>
        <w:spacing w:after="100" w:line="288"/>
        <w:jc w:val="both"/>
      </w:pPr>
      <w:r>
        <w:rPr>
          <w:rFonts w:ascii="Arial" w:cs="Arial" w:eastAsia="Arial" w:hAnsi="Arial"/>
          <w:sz w:val="22"/>
          <w:szCs w:val="22"/>
        </w:rPr>
        <w:t xml:space="preserve">Rodar de novo a instalação dos acionadores pelo menu da planilha. As rotinas agendadas passaram a apontar para nomes internos e agora são seis: backup diário, fila de e-mails, expurgo da fila, verificação de integridade, rotação do histórico e resumo semanal. Sem isso, os acionadores antigos ficam registrados apontando para nomes que não existem mais e as rotinas param em silêncio.</w:t>
      </w:r>
    </w:p>
    <w:p>
      <w:pPr>
        <w:pStyle w:val="ListParagraph"/>
        <w:numPr>
          <w:ilvl w:val="0"/>
          <w:numId w:val="1"/>
        </w:numPr>
        <w:spacing w:after="100" w:line="288"/>
        <w:jc w:val="both"/>
      </w:pPr>
      <w:r>
        <w:rPr>
          <w:rFonts w:ascii="Arial" w:cs="Arial" w:eastAsia="Arial" w:hAnsi="Arial"/>
          <w:sz w:val="22"/>
          <w:szCs w:val="22"/>
        </w:rPr>
        <w:t xml:space="preserve">Rodar uma vez o item novo que limpa os corpos das mensagens já enviadas ou desistidas na fila de e-mails. É onde o link de primeiro acesso ficava gravado em texto claro. Daí em diante isso acontece sozinho.</w:t>
      </w:r>
    </w:p>
    <w:p>
      <w:pPr>
        <w:pStyle w:val="ListParagraph"/>
        <w:numPr>
          <w:ilvl w:val="0"/>
          <w:numId w:val="1"/>
        </w:numPr>
        <w:spacing w:after="100" w:line="288"/>
        <w:jc w:val="both"/>
      </w:pPr>
      <w:r>
        <w:rPr>
          <w:rFonts w:ascii="Arial" w:cs="Arial" w:eastAsia="Arial" w:hAnsi="Arial"/>
          <w:sz w:val="22"/>
          <w:szCs w:val="22"/>
        </w:rPr>
        <w:t xml:space="preserve">Avisar as Superintendências de que o percentual de preenchimento de toda linha já gravada cai cerca de três pontos: o denominador passou de 36 para 37 elementos, com a entrada de um campo obrigatório que não estava na conta. Nada há a fazer — a próxima gravação de cada linha recalcula —, e o menu traz um item para refazer a base inteira de uma vez.</w:t>
      </w:r>
    </w:p>
    <w:p>
      <w:pPr>
        <w:pStyle w:val="ListParagraph"/>
        <w:numPr>
          <w:ilvl w:val="0"/>
          <w:numId w:val="1"/>
        </w:numPr>
        <w:spacing w:after="100" w:line="288"/>
        <w:jc w:val="both"/>
      </w:pPr>
      <w:r>
        <w:rPr>
          <w:rFonts w:ascii="Arial" w:cs="Arial" w:eastAsia="Arial" w:hAnsi="Arial"/>
          <w:sz w:val="22"/>
          <w:szCs w:val="22"/>
        </w:rPr>
        <w:t xml:space="preserve">Conferir a base que está entrando com os dois itens novos do menu, que listam homologações gravadas sem o ato correspondente na linha do tempo e códigos de autenticidade repetidos. Eles não corrigem nada: apenas listam, para que a Superintendência confira caso a caso.</w:t>
      </w:r>
    </w:p>
    <w:p>
      <w:pPr>
        <w:pStyle w:val="ListParagraph"/>
        <w:numPr>
          <w:ilvl w:val="0"/>
          <w:numId w:val="1"/>
        </w:numPr>
        <w:spacing w:after="100" w:line="288"/>
        <w:jc w:val="both"/>
      </w:pPr>
      <w:r>
        <w:rPr>
          <w:rFonts w:ascii="Arial" w:cs="Arial" w:eastAsia="Arial" w:hAnsi="Arial"/>
          <w:sz w:val="22"/>
          <w:szCs w:val="22"/>
        </w:rPr>
        <w:t xml:space="preserve">Não há conversão de dado a fazer, e isso é deliberado. Linha já gravada não é reformatada em massa, registro já concluído não é renumerado nem regerado, texto já publicado não é reescrito, PDF já guardado não é refeito e backup anterior continua como está.</w:t>
      </w:r>
    </w:p>
    <w:p>
      <w:pPr>
        <w:spacing w:after="0" w:line="288"/>
        <w:jc w:val="both"/>
      </w:pPr>
      <w:r>
        <w:rPr>
          <w:rFonts w:ascii="Arial" w:cs="Arial" w:eastAsia="Arial" w:hAnsi="Arial"/>
          <w:sz w:val="22"/>
          <w:szCs w:val="22"/>
        </w:rPr>
        <w:t xml:space="preserve">Uma ressalva de conteúdo acompanha a última providência: a célula que já tiver sido convertida em fórmula pela planilha, por ter sido gravada com um texto começado por sinal de igual, continua como está — o texto original terá de ser redigitado, porque a planilha não o guardou. A partir desta versão isso não volta a acontecer.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2026-09-20T19:01:26.638Z</dcterms:created>
  <dcterms:modified xsi:type="dcterms:W3CDTF">2026-09-20T19:01:26.638Z</dcterms:modified>
</cp:coreProperties>
</file>

<file path=docProps/custom.xml><?xml version="1.0" encoding="utf-8"?>
<Properties xmlns="http://schemas.openxmlformats.org/officeDocument/2006/custom-properties" xmlns:vt="http://schemas.openxmlformats.org/officeDocument/2006/docPropsVTypes"/>
</file>