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aaoala441lo2" w:id="0"/>
      <w:bookmarkEnd w:id="0"/>
      <w:r w:rsidDel="00000000" w:rsidR="00000000" w:rsidRPr="00000000">
        <w:rPr>
          <w:rFonts w:ascii="Lexend" w:cs="Lexend" w:eastAsia="Lexend" w:hAnsi="Lexend"/>
          <w:b w:val="1"/>
          <w:color w:val="4a86e8"/>
          <w:sz w:val="60"/>
          <w:szCs w:val="60"/>
          <w:u w:val="single"/>
          <w:rtl w:val="0"/>
        </w:rPr>
        <w:t xml:space="preserve">PROYECTO FINAL 1ºDAM </w:t>
      </w: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Guía de etiquetas y beans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i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a86e8"/>
          <w:sz w:val="40"/>
          <w:szCs w:val="40"/>
          <w:u w:val="single"/>
          <w:shd w:fill="4a86e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40"/>
          <w:szCs w:val="40"/>
          <w:shd w:fill="4a86e8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a86e8"/>
          <w:sz w:val="40"/>
          <w:szCs w:val="40"/>
          <w:shd w:fill="4a86e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a86e8"/>
          <w:sz w:val="40"/>
          <w:szCs w:val="40"/>
          <w:u w:val="single"/>
          <w:rtl w:val="0"/>
        </w:rPr>
        <w:t xml:space="preserve"> Spring Data JPA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@Entity: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 mapea con una tabla que se llama igual que la clase.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@Table: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si lo escribimos debajo de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“@Entity”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podremos cambiar el nombre de esa tabla.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Lexend" w:cs="Lexend" w:eastAsia="Lexend" w:hAnsi="Lexend"/>
          <w:i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color w:val="38761d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Lexend" w:cs="Lexend" w:eastAsia="Lexend" w:hAnsi="Lexend"/>
          <w:i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color w:val="38761d"/>
          <w:sz w:val="24"/>
          <w:szCs w:val="24"/>
          <w:rtl w:val="0"/>
        </w:rPr>
        <w:t xml:space="preserve">@Table(name=”PROD”)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Lexend" w:cs="Lexend" w:eastAsia="Lexend" w:hAnsi="Lexend"/>
          <w:i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color w:val="38761d"/>
          <w:sz w:val="24"/>
          <w:szCs w:val="24"/>
          <w:rtl w:val="0"/>
        </w:rPr>
        <w:t xml:space="preserve">public class Producto {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Lexend" w:cs="Lexend" w:eastAsia="Lexend" w:hAnsi="Lexend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Lexend" w:cs="Lexend" w:eastAsia="Lexend" w:hAnsi="Lexend"/>
          <w:i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color w:val="38761d"/>
          <w:sz w:val="24"/>
          <w:szCs w:val="24"/>
          <w:rtl w:val="0"/>
        </w:rPr>
        <w:t xml:space="preserve">//… resto de métodos y atributos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Lexend" w:cs="Lexend" w:eastAsia="Lexend" w:hAnsi="Lexend"/>
          <w:i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color w:val="3876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@Column: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permite cambiar varias características de una columna.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@Id: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establece la clave primaria de la tabla.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Para elegir la clave primaria es habitual utilizar campos artificiales, con el mismo nombre (id) y de tipo entero (long).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JPA se puede encargar de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generarlo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@GeneratedValue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@Builder: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permite crear constructores. Sin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“@AllArgsConstructor”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este bean no funciona.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COMPOSICIÓN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@Cascade: 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@orphanRemoval: 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@CreateDate: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crea la fecha en el momento de hacer una acción.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.requestMatchers(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“/admin/**”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).hasRole(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“ADMIN”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@ManyToOne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private Categoria categoria;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String nuevoProd (Model model){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mode.addAtribute(“producto”, new Producto());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&lt;option th:each=”categoria : ${categorias}”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th:value=”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&lt;th:if”${param.error}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List&lt;Producto&gt; generarProductosAAleatoriamente(int numero){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List&lt;Long&gt;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listaIds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repo.obtenerIds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Collections.shuffle(listaIds);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listaIds = listaIds.stream().limit(numero).collect(Collectors.toList());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return repo.findAllNyId(listaIds);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Meter @Lob a imagen y descripción.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