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2nvkud350of" w:id="0"/>
      <w:bookmarkEnd w:id="0"/>
      <w:r w:rsidDel="00000000" w:rsidR="00000000" w:rsidRPr="00000000">
        <w:rPr>
          <w:rtl w:val="0"/>
        </w:rPr>
        <w:t xml:space="preserve">PAREJAS LECTORAS COOPERATIVAS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Responde a las siguientes preguntas, que hacen referencia a los apartados 1.1, 1.2 y 1.3 de los apuntes: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1- ¿Por qué crees que es tan valiosa la información?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2- ¿Cuál fue el primer medio para almacenar la información? ¿Se te ocurren algunos más que no requieran de aparatos electrónicos o informáticos?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La escritura, algún tipo de código.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3- ¿Cuál es el motivo porque la metáfora de la informática sea la de una empresa u oficina?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4- ¿Qué diferencia hay entre datos e información? Pon 2 ejemplos.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Los datos son una propiedad sin ningún tipo de contexto, y la información son datos contextualizados.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Datos: 18 y Marzo, Información: Mi hermano nació el 18 de Marzo.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Datos: 20 y calvo, Información: Tengo 20 años y estoy calvo.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5- ¿Qué es un sistema de información?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6- ¿Cuáles son los componentes de un sistema de información electrónico?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Los datos, el hardware y el software.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ecima Nova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