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UD4. UML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P02. Parejas lectoras cooperativas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 Genera diagramas UML valorando su importancia en el desarrollo de aplicaciones y empleando las herramientas disponibles en el entorno.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representado correctamente asociaciones y/o jerarquías de herencia, siguiendo la especificación del sistema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Responde a las siguientes preguntas: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¿Qué diferencia hay entre la generalización y la especialización?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La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generalización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 se utiliza para resaltar las semejanzas entre las subclases y para ocultar sus diferencias. La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especialización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 es lo inverso, hace resaltar las diferencias entre los conjuntos de superclases y subclases.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Cuando una clase hereda de otra, ¿qué hereda? ¿qué no hereda?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Hereda los atributos y los métodos y NO hereda ni atributos ni métodos estáticos.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Pon un ejemplo de herencia diferente al de los apuntes.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Un ejemplo sería la superclase Figura y las subclases Círculo y Cuadrado.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Reflexiona sobre la siguiente afirmación: toda clase base de la que hereden dos o más clases debería ser abstracta. ¿Es verdadera o falsa? ¿Por qué?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Verdadera, ya que, por así decirlo, las clases abstractas están diseñadas para dar un marco común a todas sus subclases, de forma que fijan las características mínimas que debe tener cualquier clase que herede de ellas.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Por ejemplo, podemos tener las clases Cuadrado y Círculo, pero no definen completamente lo que es una figura. Por tanto, la clase Figura pasaría a ser abstracta, además de superclase de las anteriores.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Reflexiona sobre la siguiente afirmación: una clase abstracta no puede ser hija de otra clase abstracta. ¿Es verdadera o falsa? ¿Por qué?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Falso, si puede, ya que si existe una clase abstracta Vehículo con las subclases Coche, Avión y Barco, no se sabe si el coche, por ejemplo, es eléctrico, descapotable o todoterreno, por lo que podría ser perfectamente otra clase abstracta a la vez que subclase de Vehículo.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¿Cómo podemos diferenciar una clase abstracta en un diagrama de clases UML?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nombre de esa clase pasará a estar en cursiva.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Una clase no abstracta, ¿puede tener métodos abstractos? ¿y atributos abstractos?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No, no puede.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