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es un grupo? Señala alguna clasificación.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Un grupo es un conjunto de personas reunidas en pos de realizar una actividad. Aquellos integrantes pueden ser cercanos o no. 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Los grupos pueden ser temporales o atemporales.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¿Qué es un equipo de trabajo? Señala 3 diferencias con los grupos.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Un equipo de trabajo es aquel conjunto de personas reunidas para realizar una actividad en pos de conseguir un objetivo.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Señala 3 ventajas y 3 inconvenientes del trabajo en equipo.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Ventajas: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trabajo puede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repartirse equitativamente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para una mejorar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su realización.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Se puede realizar el trabajo en menos tiempo.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Desventajas: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Puede haber mala coordinación entre los miembros del equipo y entorpecer el sistema de trabajo.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sdf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d85c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¿Qué es un rol? Señala 3 que suelen aparecer en los equipos.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Un rol es un puesto que adopta el miembro de un equipo para ejercer una determinada labor.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Por ejemplo, el coordinador, el secretario y el informante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son las dinámicas de grupos? Señala algunos objetivos que pretenden conseguir.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