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60"/>
          <w:szCs w:val="6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60"/>
          <w:szCs w:val="60"/>
          <w:u w:val="single"/>
          <w:rtl w:val="0"/>
        </w:rPr>
        <w:t xml:space="preserve">TRABAJO FOL   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sz w:val="50"/>
          <w:szCs w:val="50"/>
          <w:shd w:fill="cc0000" w:val="clear"/>
          <w:rtl w:val="0"/>
        </w:rPr>
        <w:t xml:space="preserve"> 1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40"/>
          <w:szCs w:val="40"/>
          <w:u w:val="single"/>
          <w:rtl w:val="0"/>
        </w:rPr>
        <w:t xml:space="preserve"> David Falla Urtiaga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CONTRATOS REGISTRADOS, AFILIADOS A LA SEGURIDAD SOCIAL Y PARO REGISTRADO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Contratos registrados: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cantidad de contratos registrados durante ese año.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Tasa de variación interanual: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 refleja la variación experimentada por el dato de una serie correspondiente a un mes, en relación con el dato que presenta la serie en el mismo mes del año anterior (doce meses atrás).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Qué es y para qué sirve la seguridad social: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la seguridad social es la protección que una sociedad proporciona a los individuos y los hogares para asegurar el acceso a la asistencia médica y garantizar la seguridad del ingreso, en particular en caso de vejez, desempleo, enfermedad, invalidez, accidentes del trabajo, maternidad o pérdida del sostén de familia.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PERFIL DE LAS PERSONAS CONTRATADAS Y PARADAS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CARACTERÍSTICAS LABORALES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Tipos de contrato: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Contrato indefinido: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es aquel que se concierta sin establecer límites de tiempo en la prestación de los servicios, en cuanto a la duración del contrato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Contrato temporal: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 es aquel que tiene por objeto el establecimiento de una relación laboral entre la empresa y la persona trabajadora por un tiempo determinado.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Tipos de jornada: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Jornada completa: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es la más habitual y aquella que se realiza por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40 horas semanales que suelen estar distribuidas en 8 horas diarias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Jornada parcial: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es una forma de empleo asalariado que ocupa menor número de horas por semana que las que están establecidas por la ley nacional a cambio de un salario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Jornada fijo discontinua: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está pensada para aquellos trabajos que se desarrollan de forma intermitente pero estable: la empresa no necesita al empleado de forma continua durante todo el año, pero sí en periodos de tiempo recurrentes e intermitentes durante cada ejercicio.</w:t>
      </w: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Tipo de parados: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Parados: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personas sin empleo.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Parados de larga duración: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son aquellas personas que han estado sin empleo por más de 365 días (1 año).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sz w:val="50"/>
          <w:szCs w:val="50"/>
          <w:shd w:fill="cc0000" w:val="clear"/>
          <w:rtl w:val="0"/>
        </w:rPr>
        <w:t xml:space="preserve"> 2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40"/>
          <w:szCs w:val="40"/>
          <w:u w:val="single"/>
          <w:rtl w:val="0"/>
        </w:rPr>
        <w:t xml:space="preserve"> Lucas Falla Urtiaga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ACTIVIDADES ECONÓMICAS MÁS DESTACADAS POR NÚMERO DE AFILIADOS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(**)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(**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Si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el total de contratos, afiliados y/o solicitudes de demandantes parados es &lt; 5, no se visualizan datos.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Cada demandante parado puede solicitar hasta un máximo de seis ocupaciones.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rtl w:val="0"/>
        </w:rPr>
        <w:t xml:space="preserve">Clasificación Nacional de Actividades Económicas (CNAE):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es un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 sistema de numeración que tiene por finalidad agrupar y clasificar todas las unidades productoras según la actividad económica que desarrollan.</w:t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A cada unidad se le asigna un código numérico llamado Código CNAE.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Régimen general: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es el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grupo de cotización (aportación de un tanto por ciento del salario bruto que realizan los trabajadores a la Seguridad Social)  dentro del que se engloban los trabajadores asalariados que trabajan por cuenta ajena, o asimilados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Régimen Especial de Trabajadores Autónomos (RETA):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Es el sistema por el cual se gestionan las aportaciones a la Seguridad Social de los trabajadores por cuenta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ACTIVIDADES ECONÓMICAS CON MÁS CONTRATOS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Índice de rotación de personal: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mide la diferencia entre el número de trabajadores que se incorporan a una empresa y el número de personas que se marchan en un periodo de referencia.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Para calcular el índice de rotación se aplica la siguiente fórmula:</w:t>
      </w:r>
    </w:p>
    <w:p w:rsidR="00000000" w:rsidDel="00000000" w:rsidP="00000000" w:rsidRDefault="00000000" w:rsidRPr="00000000" w14:paraId="0000003A">
      <w:pPr>
        <w:jc w:val="center"/>
        <w:rPr>
          <w:rFonts w:ascii="Lexend" w:cs="Lexend" w:eastAsia="Lexend" w:hAnsi="Lexend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Índice de rotación personal = (D/PE)*100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D = número de trabajadores desvinculados de la empresa en el período analizado.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PE = Promedio efectivo del período. (nº de empleados que había en el momento inicial del período + nº de empleados en el momento final)/2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OCUPACIONES MÁS CONTRATADAS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666666"/>
          <w:sz w:val="24"/>
          <w:szCs w:val="24"/>
          <w:highlight w:val="white"/>
          <w:rtl w:val="0"/>
        </w:rPr>
        <w:t xml:space="preserve">Clasificación Nacional de Ocupaciones (CNO-11):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highlight w:val="white"/>
          <w:rtl w:val="0"/>
        </w:rPr>
        <w:t xml:space="preserve"> es un sistema de codificación que tiene por objeto el tratamiento de la información sobre ocupaciones de manera uniforme a efectos estadísticos.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OCUPACIONES MÁS DEMANDADAS POR LOS DEMANDANTES PARADOS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(**)(1)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