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Lexend" w:cs="Lexend" w:eastAsia="Lexend" w:hAnsi="Lexend"/>
          <w:b w:val="1"/>
          <w:color w:val="7627bb"/>
          <w:sz w:val="50"/>
          <w:szCs w:val="50"/>
          <w:u w:val="single"/>
        </w:rPr>
      </w:pPr>
      <w:bookmarkStart w:colFirst="0" w:colLast="0" w:name="_4oqyafubq17" w:id="0"/>
      <w:bookmarkEnd w:id="0"/>
      <w:r w:rsidDel="00000000" w:rsidR="00000000" w:rsidRPr="00000000">
        <w:rPr>
          <w:rFonts w:ascii="Lexend" w:cs="Lexend" w:eastAsia="Lexend" w:hAnsi="Lexend"/>
          <w:b w:val="1"/>
          <w:color w:val="7627bb"/>
          <w:sz w:val="50"/>
          <w:szCs w:val="50"/>
          <w:u w:val="single"/>
          <w:rtl w:val="0"/>
        </w:rPr>
        <w:t xml:space="preserve">UD2-09: EXPRESIÓN REGULAR HORAS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Expresión regular para horas con formato 12 horas. Ejemplos: 01:00 AM, 03:30 pm, 08:15 PM.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</w:rPr>
        <w:drawing>
          <wp:inline distB="114300" distT="114300" distL="114300" distR="114300">
            <wp:extent cx="5731200" cy="20320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Expresión regular para horas con formato 24 horas. Ejemplos: 15:00, 20:30, 01:15.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</w:rPr>
        <w:drawing>
          <wp:inline distB="114300" distT="114300" distL="114300" distR="114300">
            <wp:extent cx="5731200" cy="2019300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Juntar las 2 expresiones regulares anteriores permitiendo los dos tipos de formato.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731200" cy="361950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Lexend" w:cs="Lexend" w:eastAsia="Lexend" w:hAnsi="Lexe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