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yk6uy51t7z6x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UD3-02: DISCOS BÁSICOS, DINÁMICOS, PARTICIONES Y VOLÚMENES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buscar y comparar estos 4 conceptos: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Discos básicos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Discos dinámicos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Particiones de disco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- Volúmenes de disco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Discos básicos: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se utilizaban desde el prestigioso MS-DOS y se caracterizan por contener particiones (también llamadas volúmenes básicos). Hacen uso de una tabla de particiones almacenada al principio del disco duro, en el MBR (Master B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oot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Record). Algunos discos presentan también una tabla de particiones GUID, con medidas menos restrictivas que las basadas en MBR.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Discos dinámicos: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fueron introducidos a partir del lanzamiento de Windows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2000 y son un método de almacenamiento que poseen características y funcionalidades que no pueden ser utilizadas por los discos básicos, ya que los discos dinámicos permiten crear volúmenes accesibles con un único sistema de archivos.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Particiones de disco: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son divisiones lógicas que se realizan en un determinado disco duro. Estas se emplean en discos básicos y se clasifican en 3 tipos: las primarias, las lógicas y las extendidas.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Volúmenes de disco: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son áreas de almacenamiento únicas y accesibles con un único sistema de archivos. Estos se emplean en los discos dinámicos y poseen 5 tipos: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simples, distribuidos, seccionados, reflejados y RAID-5.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