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b w:val="1"/>
          <w:color w:val="7627bb"/>
          <w:sz w:val="50"/>
          <w:szCs w:val="50"/>
          <w:u w:val="single"/>
        </w:rPr>
      </w:pPr>
      <w:bookmarkStart w:colFirst="0" w:colLast="0" w:name="_5ennsxwsh8cj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50"/>
          <w:szCs w:val="50"/>
          <w:u w:val="single"/>
          <w:rtl w:val="0"/>
        </w:rPr>
        <w:t xml:space="preserve">UD3-03: RAID EN WINDOWS SERVER 2016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EJERCICIO 1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Seguir los pasos descritos en el siguiente enlace para la implementación de  en Windows Server 2003: </w:t>
      </w:r>
      <w:hyperlink r:id="rId6">
        <w:r w:rsidDel="00000000" w:rsidR="00000000" w:rsidRPr="00000000">
          <w:rPr>
            <w:rFonts w:ascii="Lexend" w:cs="Lexend" w:eastAsia="Lexend" w:hAnsi="Lexend"/>
            <w:color w:val="0000ff"/>
            <w:rtl w:val="0"/>
          </w:rPr>
          <w:t xml:space="preserve">http://support.microsoft.com/kb/323433/es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 continuación, responder a las siguientes preguntas: 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1 -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¿Para la implementación de RAID 0 es necesario que todos los discos físicos implicados tengan el mismo tamaño?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Sí, cada parte del espacio libre debe ser exactamente la misma. 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2 -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¿Qué ventajas y desventajas tiene esta configuración RAID?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Ventajas: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La información se divide entre todos los discos.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Escribe los datos simultáneamente entre los 2 discos, mejorando así el rendimiento y proporcionando mayor velocidad.</w:t>
      </w:r>
    </w:p>
    <w:p w:rsidR="00000000" w:rsidDel="00000000" w:rsidP="00000000" w:rsidRDefault="00000000" w:rsidRPr="00000000" w14:paraId="00000010">
      <w:pPr>
        <w:ind w:left="0" w:firstLine="0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Desventajas: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Si uno de los 2 discos falla, la información se pierde definitivamente.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No usa control de paridad, redundancia ni discos de repuesto.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b w:val="1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EJERCICIO 2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Seguir los pasos descritos en el siguiente enlace para la implementación de  en Windows Server 2003: </w:t>
      </w:r>
      <w:hyperlink r:id="rId7">
        <w:r w:rsidDel="00000000" w:rsidR="00000000" w:rsidRPr="00000000">
          <w:rPr>
            <w:rFonts w:ascii="Lexend" w:cs="Lexend" w:eastAsia="Lexend" w:hAnsi="Lexend"/>
            <w:color w:val="0000ff"/>
            <w:rtl w:val="0"/>
          </w:rPr>
          <w:t xml:space="preserve">http://support.microsoft.com/kb/323432/es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 continuación, responder a las siguientes preguntas:</w:t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3 -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¿Cuántos discos como mínimo hacen falta para implementar ?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Se necesitan mínimo 2 discos. En el caso de más unidades, sólo cuenta el disco de menor tamaño.</w:t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¿Para la implementación de RAID 1 es necesario que todos los discos físicos implicados tengan el mismo tamaño?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No, no hace falta que tengan el mismo tamaño, siempre y cuando se tenga en cuenta que la capacidad que se va a considerar como máxima siempre será la del más pequeño.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¿Por qué a la configuración RAID 1 se le conoce como "mirroring"?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  <w:color w:val="3d85c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3d85c6"/>
          <w:highlight w:val="white"/>
          <w:rtl w:val="0"/>
        </w:rPr>
        <w:t xml:space="preserve">Es conocido como “espejo” o “mirroring“ porque el RAID 1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utiliza 2 discos y duplica todos los datos de la primera unidad de forma sincronizada a una segunda unidad de almacenamiento</w:t>
      </w:r>
      <w:r w:rsidDel="00000000" w:rsidR="00000000" w:rsidRPr="00000000">
        <w:rPr>
          <w:rFonts w:ascii="Lexend" w:cs="Lexend" w:eastAsia="Lexend" w:hAnsi="Lexend"/>
          <w:color w:val="3d85c6"/>
          <w:highlight w:val="white"/>
          <w:rtl w:val="0"/>
        </w:rPr>
        <w:t xml:space="preserve">. De esta forma, si el primer disco se estropea, el sistema seguirá funcionando y trabajando con el segundo disco sin problemas y sin perder datos.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6-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¿Cuál es el tamaño total del volumen sobre el que se ha implementado el mirroring?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La capacidad máxima de almacenamiento del propio ordenador.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7-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¿Qué diferencias existen entre RAID 1 y RAID 0? 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Las mayores diferencias entre el RAID 0 y 1 son sus principales funciones de almacenamiento de datos, ya que mientras que el primero de estos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coloca todas las unidades de la matriz RAID en un único volumen lógico, el segundo copia la unidad principal en varias unidades de la matriz en tiempo real. </w:t>
      </w:r>
    </w:p>
    <w:p w:rsidR="00000000" w:rsidDel="00000000" w:rsidP="00000000" w:rsidRDefault="00000000" w:rsidRPr="00000000" w14:paraId="0000002C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Sin embargo, esto convierte al RAID 0 en la unidad de almacenamiento más rápida para operaciones de lectura y escritura a un coste mucho menor dejando de lado la seguridad, puesto que si nos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centráramos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en la integridad y protección de los datos el RAID 1 sería el indicado.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8-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¿Se podría hacer mirroring sobre un RAID 0?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No, no se podría, ya que el RAID 0 divide toda la información entre todos sus discos, haciendo imposible el crear una copia exacta de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upport.microsoft.com/kb/323433/es" TargetMode="External"/><Relationship Id="rId7" Type="http://schemas.openxmlformats.org/officeDocument/2006/relationships/hyperlink" Target="http://support.microsoft.com/kb/323432/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