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SISTEMAS: APUNTES ARDUINO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Arduino UNO: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Alimentación en 5V (conectar con la línea de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entradas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la Protoboard).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Toma de tierra en GND (conectar con la línea de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entradas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la Protoboard).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Los demás puertos son para conectar elementos.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Protoboard: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Línea de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entradas +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para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corriente y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línea de entradas -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para tierra.</w:t>
      </w:r>
    </w:p>
    <w:p w:rsidR="00000000" w:rsidDel="00000000" w:rsidP="00000000" w:rsidRDefault="00000000" w:rsidRPr="00000000" w14:paraId="0000000C">
      <w:pPr>
        <w:ind w:left="0" w:firstLine="0"/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LED: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Extremo recto conectado a resistencia y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esta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 conectada a tierra,  y extremo curvo conectado a puerto del Arduino UNO (la resistencia puede ir también conectada al cable que conecta con Arduino UNO en lugar de ir conectada al cable de tierra).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highlight w:val="white"/>
          <w:rtl w:val="0"/>
        </w:rPr>
        <w:t xml:space="preserve">Pulsador: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Conectado a la línea de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highlight w:val="white"/>
          <w:rtl w:val="0"/>
        </w:rPr>
        <w:t xml:space="preserve">entradas +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Conectado a una resistencia que se conecta por el otro extremo a tierra, y por el mismo extremo que se conecta al pulsador a un puerto del ARDUINO UNO.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