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84"/>
          <w:szCs w:val="84"/>
        </w:rPr>
        <w:t xml:space="preserve">BovCredit</w:t>
      </w:r>
    </w:p>
    <w:p>
      <w:pPr>
        <w:spacing w:after="500"/>
        <w:jc w:val="center"/>
      </w:pPr>
      <w:r>
        <w:rPr>
          <w:rFonts w:ascii="Arial" w:cs="Arial" w:eastAsia="Arial" w:hAnsi="Arial"/>
          <w:color w:val="595959"/>
          <w:sz w:val="30"/>
          <w:szCs w:val="30"/>
        </w:rPr>
        <w:t xml:space="preserve">Plataforma de Análise de Crédito Pecuário</w:t>
      </w:r>
    </w:p>
    <w:p>
      <w:pPr>
        <w:pBdr>
          <w:top w:val="single" w:color="1F3864" w:sz="8" w:space="14"/>
        </w:pBdr>
        <w:spacing w:after="1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Documentação completa do sistema</w:t>
      </w:r>
    </w:p>
    <w:p>
      <w:pPr>
        <w:spacing w:after="9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O que o programa tem e o que ele faz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Levantado diretamente do código-fonte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31 de julho de 2026</w:t>
      </w:r>
    </w:p>
    <w:p>
      <w:pPr>
        <w:spacing w:after="140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128 commits · 12.212 linhas de Python · 587 testes</w:t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© 2026 Lucas Vinicius — Todos os direitos reservados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Sumário</w:t>
      </w:r>
    </w:p>
    <w:p>
      <w:pPr>
        <w:spacing w:after="120"/>
      </w:pP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sz w:val="21"/>
          <w:szCs w:val="21"/>
        </w:rPr>
        <w:t xml:space="preserve">1. O que é o BovCredit</w:t>
      </w:r>
      <w:r>
        <w:rPr>
          <w:rFonts w:ascii="Arial" w:cs="Arial" w:eastAsia="Arial" w:hAnsi="Arial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sz w:val="21"/>
          <w:szCs w:val="21"/>
        </w:rPr>
        <w:t xml:space="preserve">2. O fluxo de uma análise</w:t>
      </w:r>
      <w:r>
        <w:rPr>
          <w:rFonts w:ascii="Arial" w:cs="Arial" w:eastAsia="Arial" w:hAnsi="Arial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sz w:val="21"/>
          <w:szCs w:val="21"/>
        </w:rPr>
        <w:t xml:space="preserve">3. Motor de classificação</w:t>
      </w:r>
      <w:r>
        <w:rPr>
          <w:rFonts w:ascii="Arial" w:cs="Arial" w:eastAsia="Arial" w:hAnsi="Arial"/>
          <w:sz w:val="21"/>
          <w:szCs w:val="21"/>
        </w:rPr>
        <w:t xml:space="preserve">	6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sz w:val="21"/>
          <w:szCs w:val="21"/>
        </w:rPr>
        <w:t xml:space="preserve">4. Leitura de documentos</w:t>
      </w:r>
      <w:r>
        <w:rPr>
          <w:rFonts w:ascii="Arial" w:cs="Arial" w:eastAsia="Arial" w:hAnsi="Arial"/>
          <w:sz w:val="21"/>
          <w:szCs w:val="21"/>
        </w:rPr>
        <w:t xml:space="preserve">	8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sz w:val="21"/>
          <w:szCs w:val="21"/>
        </w:rPr>
        <w:t xml:space="preserve">5. Simulação por coortes</w:t>
      </w:r>
      <w:r>
        <w:rPr>
          <w:rFonts w:ascii="Arial" w:cs="Arial" w:eastAsia="Arial" w:hAnsi="Arial"/>
          <w:sz w:val="21"/>
          <w:szCs w:val="21"/>
        </w:rPr>
        <w:t xml:space="preserve">	9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sz w:val="21"/>
          <w:szCs w:val="21"/>
        </w:rPr>
        <w:t xml:space="preserve">6. Análise financeira</w:t>
      </w:r>
      <w:r>
        <w:rPr>
          <w:rFonts w:ascii="Arial" w:cs="Arial" w:eastAsia="Arial" w:hAnsi="Arial"/>
          <w:sz w:val="21"/>
          <w:szCs w:val="21"/>
        </w:rPr>
        <w:t xml:space="preserve">	10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sz w:val="21"/>
          <w:szCs w:val="21"/>
        </w:rPr>
        <w:t xml:space="preserve">7. Auditoria e controles</w:t>
      </w:r>
      <w:r>
        <w:rPr>
          <w:rFonts w:ascii="Arial" w:cs="Arial" w:eastAsia="Arial" w:hAnsi="Arial"/>
          <w:sz w:val="21"/>
          <w:szCs w:val="21"/>
        </w:rPr>
        <w:t xml:space="preserve">	13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sz w:val="21"/>
          <w:szCs w:val="21"/>
        </w:rPr>
        <w:t xml:space="preserve">8. Preço por praça</w:t>
      </w:r>
      <w:r>
        <w:rPr>
          <w:rFonts w:ascii="Arial" w:cs="Arial" w:eastAsia="Arial" w:hAnsi="Arial"/>
          <w:sz w:val="21"/>
          <w:szCs w:val="21"/>
        </w:rPr>
        <w:t xml:space="preserve">	18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sz w:val="21"/>
          <w:szCs w:val="21"/>
        </w:rPr>
        <w:t xml:space="preserve">9. IA e canais de atendimento</w:t>
      </w:r>
      <w:r>
        <w:rPr>
          <w:rFonts w:ascii="Arial" w:cs="Arial" w:eastAsia="Arial" w:hAnsi="Arial"/>
          <w:sz w:val="21"/>
          <w:szCs w:val="21"/>
        </w:rPr>
        <w:t xml:space="preserve">	19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sz w:val="21"/>
          <w:szCs w:val="21"/>
        </w:rPr>
        <w:t xml:space="preserve">10. O loop de dado real</w:t>
      </w:r>
      <w:r>
        <w:rPr>
          <w:rFonts w:ascii="Arial" w:cs="Arial" w:eastAsia="Arial" w:hAnsi="Arial"/>
          <w:sz w:val="21"/>
          <w:szCs w:val="21"/>
        </w:rPr>
        <w:t xml:space="preserve">	20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sz w:val="21"/>
          <w:szCs w:val="21"/>
        </w:rPr>
        <w:t xml:space="preserve">11. Multiempresa e multiusuário</w:t>
      </w:r>
      <w:r>
        <w:rPr>
          <w:rFonts w:ascii="Arial" w:cs="Arial" w:eastAsia="Arial" w:hAnsi="Arial"/>
          <w:sz w:val="21"/>
          <w:szCs w:val="21"/>
        </w:rPr>
        <w:t xml:space="preserve">	21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sz w:val="21"/>
          <w:szCs w:val="21"/>
        </w:rPr>
        <w:t xml:space="preserve">12. Tecnologia e arquitetura</w:t>
      </w:r>
      <w:r>
        <w:rPr>
          <w:rFonts w:ascii="Arial" w:cs="Arial" w:eastAsia="Arial" w:hAnsi="Arial"/>
          <w:sz w:val="21"/>
          <w:szCs w:val="21"/>
        </w:rPr>
        <w:t xml:space="preserve">	22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sz w:val="21"/>
          <w:szCs w:val="21"/>
        </w:rPr>
        <w:t xml:space="preserve">13. API</w:t>
      </w:r>
      <w:r>
        <w:rPr>
          <w:rFonts w:ascii="Arial" w:cs="Arial" w:eastAsia="Arial" w:hAnsi="Arial"/>
          <w:sz w:val="21"/>
          <w:szCs w:val="21"/>
        </w:rPr>
        <w:t xml:space="preserve">	24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sz w:val="21"/>
          <w:szCs w:val="21"/>
        </w:rPr>
        <w:t xml:space="preserve">14. Instalação e deploy</w:t>
      </w:r>
      <w:r>
        <w:rPr>
          <w:rFonts w:ascii="Arial" w:cs="Arial" w:eastAsia="Arial" w:hAnsi="Arial"/>
          <w:sz w:val="21"/>
          <w:szCs w:val="21"/>
        </w:rPr>
        <w:t xml:space="preserve">	26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sz w:val="21"/>
          <w:szCs w:val="21"/>
        </w:rPr>
        <w:t xml:space="preserve">15. Validação com ficha real</w:t>
      </w:r>
      <w:r>
        <w:rPr>
          <w:rFonts w:ascii="Arial" w:cs="Arial" w:eastAsia="Arial" w:hAnsi="Arial"/>
          <w:sz w:val="21"/>
          <w:szCs w:val="21"/>
        </w:rPr>
        <w:t xml:space="preserve">	29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sz w:val="21"/>
          <w:szCs w:val="21"/>
        </w:rPr>
        <w:t xml:space="preserve">16. O que está em aberto</w:t>
      </w:r>
      <w:r>
        <w:rPr>
          <w:rFonts w:ascii="Arial" w:cs="Arial" w:eastAsia="Arial" w:hAnsi="Arial"/>
          <w:sz w:val="21"/>
          <w:szCs w:val="21"/>
        </w:rPr>
        <w:t xml:space="preserve">	30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sz w:val="21"/>
          <w:szCs w:val="21"/>
        </w:rPr>
        <w:t xml:space="preserve">17. Onde o projeto é único</w:t>
      </w:r>
      <w:r>
        <w:rPr>
          <w:rFonts w:ascii="Arial" w:cs="Arial" w:eastAsia="Arial" w:hAnsi="Arial"/>
          <w:sz w:val="21"/>
          <w:szCs w:val="21"/>
        </w:rPr>
        <w:t xml:space="preserve">	32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sz w:val="21"/>
          <w:szCs w:val="21"/>
        </w:rPr>
        <w:t xml:space="preserve">18. Documentos relacionados e licença</w:t>
      </w:r>
      <w:r>
        <w:rPr>
          <w:rFonts w:ascii="Arial" w:cs="Arial" w:eastAsia="Arial" w:hAnsi="Arial"/>
          <w:sz w:val="21"/>
          <w:szCs w:val="21"/>
        </w:rPr>
        <w:t xml:space="preserve">	33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O que é o BovCredit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BovCredit é um sistema de análise técnico-financeira de rebanho bovino, feito para consultorias de crédito rural e analistas de banco. A partir das contagens de animais de uma propriedade, ele classifica automaticamente a modalidade de exploração, projeta a geração de caixa ao longo de todo o prazo do financiamento, audita a consistência do rebanho declarado e emite um parecer com recomendação de Aprovar, Ressalva ou Negar — acompanhado de memória de cálculo passo a passo.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 proposta central é substituir a planilha do analista por um processo padronizado, rastreável e defensável diante de um comitê de crédito ou do Banco Central.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 O problema que ele resolve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a consultoria trabalha hoje</w:t>
            </w:r>
          </w:p>
        </w:tc>
        <w:tc>
          <w:tcPr>
            <w:tcW w:type="dxa" w:w="48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a plataforma entrega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Análise em planilha, demorada e propensa a erro</w:t>
            </w:r>
          </w:p>
        </w:tc>
        <w:tc>
          <w:tcPr>
            <w:tcW w:type="dxa" w:w="48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Resultado completo em menos de um minuto</w:t>
            </w:r>
          </w:p>
        </w:tc>
      </w:tr>
      <w:tr>
        <w:tc>
          <w:tcPr>
            <w:tcW w:type="dxa" w:w="42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metodologia padronizada entre analistas</w:t>
            </w:r>
          </w:p>
        </w:tc>
        <w:tc>
          <w:tcPr>
            <w:tcW w:type="dxa" w:w="48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Metodologia uniforme, com memória de cálculo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Rebanho declarado aceito sem auditoria</w:t>
            </w:r>
          </w:p>
        </w:tc>
        <w:tc>
          <w:tcPr>
            <w:tcW w:type="dxa" w:w="48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Score de consistência, flags e reconciliação entre documentos</w:t>
            </w:r>
          </w:p>
        </w:tc>
      </w:tr>
      <w:tr>
        <w:tc>
          <w:tcPr>
            <w:tcW w:type="dxa" w:w="42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Garantia avaliada pela cotação cheia do dia</w:t>
            </w:r>
          </w:p>
        </w:tc>
        <w:tc>
          <w:tcPr>
            <w:tcW w:type="dxa" w:w="48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Deságio por categoria e LTV sobre o valor de execução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Endividamento informado sem origem</w:t>
            </w:r>
          </w:p>
        </w:tc>
        <w:tc>
          <w:tcPr>
            <w:tcW w:type="dxa" w:w="48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Inventário por credor, confrontável com o SCR</w:t>
            </w:r>
          </w:p>
        </w:tc>
      </w:tr>
      <w:tr>
        <w:tc>
          <w:tcPr>
            <w:tcW w:type="dxa" w:w="42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Preço nacional aplicado no Brasil inteiro</w:t>
            </w:r>
          </w:p>
        </w:tc>
        <w:tc>
          <w:tcPr>
            <w:tcW w:type="dxa" w:w="48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Diferencial por praça atravessando toda a cadeia de cálculo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 genérico</w:t>
            </w:r>
          </w:p>
        </w:tc>
        <w:tc>
          <w:tcPr>
            <w:tcW w:type="dxa" w:w="48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 com logo e nome da consultoria</w:t>
            </w:r>
          </w:p>
        </w:tc>
      </w:tr>
      <w:tr>
        <w:tc>
          <w:tcPr>
            <w:tcW w:type="dxa" w:w="42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histórico</w:t>
            </w:r>
          </w:p>
        </w:tc>
        <w:tc>
          <w:tcPr>
            <w:tcW w:type="dxa" w:w="48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Histórico por fazenda, com pareceres para download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 Números do projeto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6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Quantidade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(código de produção)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12.212 linhas</w:t>
            </w:r>
          </w:p>
        </w:tc>
      </w:tr>
      <w:tr>
        <w:tc>
          <w:tcPr>
            <w:tcW w:type="dxa" w:w="54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Interface (templates/index.html)</w:t>
            </w:r>
          </w:p>
        </w:tc>
        <w:tc>
          <w:tcPr>
            <w:tcW w:type="dxa" w:w="36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3.808 linhas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Testes automatizados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587 casos em 63 arquivos</w:t>
            </w:r>
          </w:p>
        </w:tc>
      </w:tr>
      <w:tr>
        <w:tc>
          <w:tcPr>
            <w:tcW w:type="dxa" w:w="54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Rotas HTTP</w:t>
            </w:r>
          </w:p>
        </w:tc>
        <w:tc>
          <w:tcPr>
            <w:tcW w:type="dxa" w:w="36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51, sendo 34 endpoints /api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Módulos de serviço (services/)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54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Modelo de classificação</w:t>
            </w:r>
          </w:p>
        </w:tc>
        <w:tc>
          <w:tcPr>
            <w:tcW w:type="dxa" w:w="36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ensemble de 4 algoritmos, 42 features, 6 classes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Agências estaduais lidas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54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Tabelas no banco de dados</w:t>
            </w:r>
          </w:p>
        </w:tc>
        <w:tc>
          <w:tcPr>
            <w:tcW w:type="dxa" w:w="36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Commits no repositório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128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none"/>
          <w:left w:val="single" w:color="1E6B3A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1F7F3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Sobre este documento.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Todos os números acima foram medidos no código na data de emissão, não copiados de documentação anterior. Onde o sistema tem limitação conhecida, ela está escrita — o capítulo 17 é dedicado ao que não funciona e ao que não foi validado.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O fluxo de uma análise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Uma análise completa percorre nove etapas. Cada uma alimenta a seguinte, e todas ficam registradas na memória de cálculo do parecer.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Entrada — 10 contagens de animais por faixa etária e sexo, que podem ser digitadas, importadas de uma planilha Excel ou extraídas automaticamente de um PDF de declaração estadual.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Classificação — o ensemble de machine learning aponta a modalidade de exploração entre seis, com probabilidade, proveniência da decisão (regra determinística ou ML) e índice de atipicidade.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Praça — informado o município, o preço nacional recebe o diferencial regional da UF. Tudo que vem depois herda esse preço.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Simulação — projeção plurianual por coortes etárias, no cenário conservador, contemplando venda, compra, mortalidade e evolução de idade.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Fluxo de caixa — metodologia GEP Araguaia, incluindo a variação de estoque do rebanho.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Auditoria — consistência do rebanho, reconciliação de garantia entre documentos e desfrute confrontado com a faixa esperada da modalidade.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Crédito — DSCR em todos os anos do prazo, endividamento total e garantia pelo valor de execução.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Parecer — recomendação, memória de cálculo, explicação SHAP e PDF com a marca da consultoria.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Confirmação — o analista confirma ou corrige a modalidade, e essa resposta vira dado de treino.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Motor de classificação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Arquivo: ml_engine.py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 Como funciona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Quatro modelos votam em conjunto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(VotingClassifier com soft voting): RandomForest, GradientBoosting, XGBoost e LightGBM. A entrada são 10 contagens, expandidas para 42 features engenheiradas.</w:t>
      </w:r>
    </w:p>
    <w:tbl>
      <w:tblPr>
        <w:tblW w:type="dxa" w:w="9026"/>
        <w:tblBorders>
          <w:top w:val="single" w:color="C8D0DC" w:sz="4"/>
          <w:left w:val="single" w:color="1F3864" w:sz="18"/>
          <w:bottom w:val="single" w:color="C8D0DC" w:sz="4"/>
          <w:right w:val="single" w:color="C8D0DC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7F8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v = [fêmeas 00–04m, machos 00–04m,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   fêmeas 05–12m, machos 05–12m,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   fêmeas 13–24m, machos 13–24m,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   fêmeas 25–36m, machos 25–36m,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   fêmeas adultas, machos adultos]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 As seis modalidades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Modalidade</w:t>
            </w:r>
          </w:p>
        </w:tc>
        <w:tc>
          <w:tcPr>
            <w:tcW w:type="dxa" w:w="61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do rebanho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Matrizes dominam; a receita é o bezerro</w:t>
            </w:r>
          </w:p>
        </w:tc>
      </w:tr>
      <w:tr>
        <w:tc>
          <w:tcPr>
            <w:tcW w:type="dxa" w:w="29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RECRIA</w:t>
            </w:r>
          </w:p>
        </w:tc>
        <w:tc>
          <w:tcPr>
            <w:tcW w:type="dxa" w:w="61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Poucos adultos, predomínio de jovens; ganho de peso intermediário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ENGORDA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Terminação para abate; concentração em 13–24m, saída em peso de corte</w:t>
            </w:r>
          </w:p>
        </w:tc>
      </w:tr>
      <w:tr>
        <w:tc>
          <w:tcPr>
            <w:tcW w:type="dxa" w:w="29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CICLO_COMPLETO</w:t>
            </w:r>
          </w:p>
        </w:tc>
        <w:tc>
          <w:tcPr>
            <w:tcW w:type="dxa" w:w="61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Cria, recria e engorda integrados na mesma propriedade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RECRIA_ENGORDA</w:t>
            </w:r>
          </w:p>
        </w:tc>
        <w:tc>
          <w:tcPr>
            <w:tcW w:type="dxa" w:w="61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Compra magro e termina; giro alto, retenção muito baixa</w:t>
            </w:r>
          </w:p>
        </w:tc>
      </w:tr>
      <w:tr>
        <w:tc>
          <w:tcPr>
            <w:tcW w:type="dxa" w:w="29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CRIA_RECRIA</w:t>
            </w:r>
          </w:p>
        </w:tc>
        <w:tc>
          <w:tcPr>
            <w:tcW w:type="dxa" w:w="61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Produção própria somada à compra de animais desmamados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3.3 Acurácia — e a ressalva que a acompanha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91,2% ± 5,41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em validação cruzada, sobre 34.902 amostras.</w:t>
      </w:r>
    </w:p>
    <w:p>
      <w:pPr>
        <w:spacing w:after="60"/>
      </w:pPr>
    </w:p>
    <w:tbl>
      <w:tblPr>
        <w:tblW w:type="dxa" w:w="9026"/>
        <w:tblBorders>
          <w:top w:val="none"/>
          <w:left w:val="single" w:color="A32020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3F3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Ressalva que importa.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Esse conjunto de treino é sintético, gerado a partir das faixas de referência escritas em treinar_ciclos.py pelo próprio projeto. O número mede que o modelo aprendeu as faixas que lhe foram ensinadas — não que ele acerta na realidade. É validação circular. É exatamente por isso que existe o botão de confirmação descrito no capítulo 10.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3.4 O que mais o motor entrega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SHAP (TreeExplainer) — explicação de quais características do rebanho pesaram na decisão, atendendo à exigência de explicabilidade da Resolução CMN 4.966/2021.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Proveniência da decisão — o sistema informa se a modalidade veio de uma regra determinística ou do modelo estatístico.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Atipicidade — o quanto aquele rebanho se afasta da distribuição vista no treino.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Agrupamento de features redundantes no SHAP — sete pares têm correlação 1,0 e apareceriam duplicados na explicação.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Leitura de documentos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Arquivo: pdf_parsers.py — 1.385 linhas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 Agências estaduais suportadas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2600"/>
        <w:gridCol w:w="1200"/>
        <w:gridCol w:w="522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Agência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UF</w:t>
            </w:r>
          </w:p>
        </w:tc>
        <w:tc>
          <w:tcPr>
            <w:tcW w:type="dxa" w:w="52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Faixas etárias do documento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INDEA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MT</w:t>
            </w:r>
          </w:p>
        </w:tc>
        <w:tc>
          <w:tcPr>
            <w:tcW w:type="dxa" w:w="5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(0-4 / 5-12 / 13-24 / 25-36 / 36m+)</w:t>
            </w:r>
          </w:p>
        </w:tc>
      </w:tr>
      <w:tr>
        <w:tc>
          <w:tcPr>
            <w:tcW w:type="dxa" w:w="26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AGRODEFESA</w:t>
            </w:r>
          </w:p>
        </w:tc>
        <w:tc>
          <w:tcPr>
            <w:tcW w:type="dxa" w:w="12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</w:t>
            </w:r>
          </w:p>
        </w:tc>
        <w:tc>
          <w:tcPr>
            <w:tcW w:type="dxa" w:w="52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IDARON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</w:t>
            </w:r>
          </w:p>
        </w:tc>
        <w:tc>
          <w:tcPr>
            <w:tcW w:type="dxa" w:w="5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(0-12 / 13-24 / 25-36 / 36m+)</w:t>
            </w:r>
          </w:p>
        </w:tc>
      </w:tr>
      <w:tr>
        <w:tc>
          <w:tcPr>
            <w:tcW w:type="dxa" w:w="26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IAGRO</w:t>
            </w:r>
          </w:p>
        </w:tc>
        <w:tc>
          <w:tcPr>
            <w:tcW w:type="dxa" w:w="12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</w:t>
            </w:r>
          </w:p>
        </w:tc>
        <w:tc>
          <w:tcPr>
            <w:tcW w:type="dxa" w:w="52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AGED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</w:t>
            </w:r>
          </w:p>
        </w:tc>
        <w:tc>
          <w:tcPr>
            <w:tcW w:type="dxa" w:w="5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ADAPEC</w:t>
            </w:r>
          </w:p>
        </w:tc>
        <w:tc>
          <w:tcPr>
            <w:tcW w:type="dxa" w:w="12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</w:t>
            </w:r>
          </w:p>
        </w:tc>
        <w:tc>
          <w:tcPr>
            <w:tcW w:type="dxa" w:w="52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ADEPARÁ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</w:t>
            </w:r>
          </w:p>
        </w:tc>
        <w:tc>
          <w:tcPr>
            <w:tcW w:type="dxa" w:w="5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 A cascata de extração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Um mesmo PDF pode chegar de três formas diferentes, e o sistema tenta três estratégias em sequência: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1200"/>
        <w:gridCol w:w="2600"/>
        <w:gridCol w:w="5226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Estágio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52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Atende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pdftotext (poppler)</w:t>
            </w:r>
          </w:p>
        </w:tc>
        <w:tc>
          <w:tcPr>
            <w:tcW w:type="dxa" w:w="5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 nativo — preserva o layout em coluna das fichas</w:t>
            </w:r>
          </w:p>
        </w:tc>
      </w:tr>
      <w:tr>
        <w:tc>
          <w:tcPr>
            <w:tcW w:type="dxa" w:w="12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pdfplumber</w:t>
            </w:r>
          </w:p>
        </w:tc>
        <w:tc>
          <w:tcPr>
            <w:tcW w:type="dxa" w:w="52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 nativo cujo layout o pdftotext não resolve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Tesseract (OCR)</w:t>
            </w:r>
          </w:p>
        </w:tc>
        <w:tc>
          <w:tcPr>
            <w:tcW w:type="dxa" w:w="5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 escaneado — imagem pura, sem camada de texto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Além dos parsers por agência há um parser genérico de fallback. O sistema aceita múltiplos PDFs de uma vez e soma os rebanhos. Também lê planilhas Excel (template disponível em /api/template/download) e texto colado.</w:t>
      </w:r>
    </w:p>
    <w:p>
      <w:pPr>
        <w:spacing w:after="80"/>
      </w:pPr>
    </w:p>
    <w:tbl>
      <w:tblPr>
        <w:tblW w:type="dxa" w:w="9026"/>
        <w:tblBorders>
          <w:top w:val="none"/>
          <w:left w:val="single" w:color="1E6B3A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1F7F3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É o fosso do projeto.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Formatos diferentes por estado, órgãos que mudam o layout sem avisar, documento em PDF e em papel. Não se compra de fornecedor e não se resolve com um modelo — é integração acumulada, documento a documento.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Simulação por coortes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São quatro motores de simulação, não seis: CRIA_RECRIA usa o motor de cria e RECRIA_ENGORDA usa o de engorda.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Cada motor rastreia coortes etárias ao longo do tempo — os animais envelhecem, nascem, morrem, são comprados e vendidos — e fecha o balanço:</w:t>
      </w:r>
    </w:p>
    <w:tbl>
      <w:tblPr>
        <w:tblW w:type="dxa" w:w="9026"/>
        <w:tblBorders>
          <w:top w:val="single" w:color="C8D0DC" w:sz="4"/>
          <w:left w:val="single" w:color="1F3864" w:sz="18"/>
          <w:bottom w:val="single" w:color="C8D0DC" w:sz="4"/>
          <w:right w:val="single" w:color="C8D0DC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7F8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fim = início + nascimentos + compras − vendas − mortes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Quatro cenários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são projetados: conservador, crescimento, otimista e especulativo.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O parecer usa sempre o conservador.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Análise financeira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6.1 Fluxo de caixa — metodologia GEP Araguaia</w:t>
      </w:r>
    </w:p>
    <w:tbl>
      <w:tblPr>
        <w:tblW w:type="dxa" w:w="9026"/>
        <w:tblBorders>
          <w:top w:val="single" w:color="C8D0DC" w:sz="4"/>
          <w:left w:val="single" w:color="1F3864" w:sz="18"/>
          <w:bottom w:val="single" w:color="C8D0DC" w:sz="4"/>
          <w:right w:val="single" w:color="C8D0DC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7F8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(+) Receita de vendas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(−) Custo operacional (desembolso)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(−) Reposição de reprodutores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(=) RESULTADO OPERACIONAL          ← base do DSCR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(±) Variação de estoque do rebanho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(=) RESULTADO ECONÔMICO TOTAL      ← riqueza criada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(−) Serviço da dívida anual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(=) FLUXO LIVRE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variação de estoque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o valor criado pelo simples crescimento do plantel — é o diferencial da metodologia: nenhum sistema de crédito rural concorrente a calcula automaticamente.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6.2 DSCR em todos os anos do prazo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DSCR do primeiro ano, sozinho, engana. O ano 1 liquida o estoque de animais prontos declarado na ficha; os anos seguintes vendem apenas a produção corrente.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Um caso real de ciclo completo projetou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6,08 no ano 1 e −0,53 no ano 2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e o parecer aprovava um crédito de 36 meses. Hoje a recomendação segue o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ano crítico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não o primeiro.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6.3 Política de crédito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Estes limites são política da instituição — ajustáveis, e não benchmark zootécnico: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36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DSCR para aprovar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1,30</w:t>
            </w:r>
          </w:p>
        </w:tc>
      </w:tr>
      <w:tr>
        <w:tc>
          <w:tcPr>
            <w:tcW w:type="dxa" w:w="54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DSCR para ressalva</w:t>
            </w:r>
          </w:p>
        </w:tc>
        <w:tc>
          <w:tcPr>
            <w:tcW w:type="dxa" w:w="36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1,00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LTV considerado folgado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≤ 60%</w:t>
            </w:r>
          </w:p>
        </w:tc>
      </w:tr>
      <w:tr>
        <w:tc>
          <w:tcPr>
            <w:tcW w:type="dxa" w:w="54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LTV considerado ajustado</w:t>
            </w:r>
          </w:p>
        </w:tc>
        <w:tc>
          <w:tcPr>
            <w:tcW w:type="dxa" w:w="36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≤ 80%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Comprometimento de renda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≤ 70%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sistema também calcula o crédito máximo, por inversão do DSCR alvo; sensibilidade a preço (−15% / base / +15%) e a custo; e breakeven e COE contra referência Campo Futuro/CNA. Os custos variam por modalidade — cria a R$ 90,88 por cabeça/mês contra R$ 119,14 do ciclo completo.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6.4 Endividamento total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Arquivo: services/endividamento.py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Inventário por credor, com instituição, saldo devedor e parcela. O campo único antigo continua funcionando, mas passa a se declarar explicitamente como "não discriminado". O comprometimento soma a parcela do crédito em análise, porque a decisão é sobre a situação depois da operação, não antes.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Ausência declarada dispara aviso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para conferir o SCR do Banco Central: zero declarado pode ser verdade ou omissão, e o parecer não trata os dois casos igual.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6.5 Garantia pelo valor de execução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Arquivo: services/garantia.py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Rebanho dado em penhor não se realiza pela cotação do dia. Entre a inadimplência e o caixa há apreensão, transporte, risco sanitário e venda forçada. Por isso cada categoria recebe um deságio: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2400"/>
        <w:gridCol w:w="1200"/>
        <w:gridCol w:w="54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Deságio</w:t>
            </w:r>
          </w:p>
        </w:tc>
        <w:tc>
          <w:tcPr>
            <w:tcW w:type="dxa" w:w="54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quê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Boi (25m+)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25%</w:t>
            </w:r>
          </w:p>
        </w:tc>
        <w:tc>
          <w:tcPr>
            <w:tcW w:type="dxa" w:w="54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Cotação pública, vende na semana</w:t>
            </w:r>
          </w:p>
        </w:tc>
      </w:tr>
      <w:tr>
        <w:tc>
          <w:tcPr>
            <w:tcW w:type="dxa" w:w="24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Garrote (13–24m)</w:t>
            </w:r>
          </w:p>
        </w:tc>
        <w:tc>
          <w:tcPr>
            <w:tcW w:type="dxa" w:w="12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35%</w:t>
            </w:r>
          </w:p>
        </w:tc>
        <w:tc>
          <w:tcPr>
            <w:tcW w:type="dxa" w:w="54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Falta terminação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Matriz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35%</w:t>
            </w:r>
          </w:p>
        </w:tc>
        <w:tc>
          <w:tcPr>
            <w:tcW w:type="dxa" w:w="54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Valor depende da vida reprodutiva restante</w:t>
            </w:r>
          </w:p>
        </w:tc>
      </w:tr>
      <w:tr>
        <w:tc>
          <w:tcPr>
            <w:tcW w:type="dxa" w:w="24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Novilha (13–24m)</w:t>
            </w:r>
          </w:p>
        </w:tc>
        <w:tc>
          <w:tcPr>
            <w:tcW w:type="dxa" w:w="12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40%</w:t>
            </w:r>
          </w:p>
        </w:tc>
        <w:tc>
          <w:tcPr>
            <w:tcW w:type="dxa" w:w="54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Ainda não pariu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Bezerro/a (0–12m)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54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Dois anos até a terminação, maior mortalidade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deságio médio acompanha a composição do rebanho, e o LTV é medido sobre o valor de execução — não sobre o valor de mercado.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6.6 Rebaixamento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Capacidade de pagamento, garantia, endividamento e consistência são perguntas independentes: vale a pior das respostas. Cada motivo entra na memória de cálculo mesmo quando a recomendação já caiu por outro — o comitê precisa ver todos os problemas, não apenas o primeiro que disparou.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6.7 Pesos e rendimentos por categoria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Arrobas-equivalente</w:t>
            </w:r>
          </w:p>
        </w:tc>
        <w:tc>
          <w:tcPr>
            <w:tcW w:type="dxa" w:w="36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Referência de preço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Boi adulto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20,53 @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preco_boi</w:t>
            </w:r>
          </w:p>
        </w:tc>
      </w:tr>
      <w:tr>
        <w:tc>
          <w:tcPr>
            <w:tcW w:type="dxa" w:w="28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Vaca / Matriz</w:t>
            </w:r>
          </w:p>
        </w:tc>
        <w:tc>
          <w:tcPr>
            <w:tcW w:type="dxa" w:w="26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15,33 @</w:t>
            </w:r>
          </w:p>
        </w:tc>
        <w:tc>
          <w:tcPr>
            <w:tcW w:type="dxa" w:w="36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preco_vaca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Garrote 13–24m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10,67 @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preco_boi</w:t>
            </w:r>
          </w:p>
        </w:tc>
      </w:tr>
      <w:tr>
        <w:tc>
          <w:tcPr>
            <w:tcW w:type="dxa" w:w="28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Novilha 13–24m</w:t>
            </w:r>
          </w:p>
        </w:tc>
        <w:tc>
          <w:tcPr>
            <w:tcW w:type="dxa" w:w="26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9,33 @</w:t>
            </w:r>
          </w:p>
        </w:tc>
        <w:tc>
          <w:tcPr>
            <w:tcW w:type="dxa" w:w="36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preco_vaca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Bezerro 0–12m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6,67 @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preco_bezerro (R$/cabeça)</w:t>
            </w:r>
          </w:p>
        </w:tc>
      </w:tr>
      <w:tr>
        <w:tc>
          <w:tcPr>
            <w:tcW w:type="dxa" w:w="28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Bezerra 0–12m</w:t>
            </w:r>
          </w:p>
        </w:tc>
        <w:tc>
          <w:tcPr>
            <w:tcW w:type="dxa" w:w="26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6,00 @</w:t>
            </w:r>
          </w:p>
        </w:tc>
        <w:tc>
          <w:tcPr>
            <w:tcW w:type="dxa" w:w="36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preco_bezerra (R$/cabeça)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6.8 Parâmetros zootécnicos padrão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36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Natalidade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70%</w:t>
            </w:r>
          </w:p>
        </w:tc>
      </w:tr>
      <w:tr>
        <w:tc>
          <w:tcPr>
            <w:tcW w:type="dxa" w:w="54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Desmame</w:t>
            </w:r>
          </w:p>
        </w:tc>
        <w:tc>
          <w:tcPr>
            <w:tcW w:type="dxa" w:w="36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82%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Mortalidade geral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3% (adulto 2%, bezerra 7%)</w:t>
            </w:r>
          </w:p>
        </w:tc>
      </w:tr>
      <w:tr>
        <w:tc>
          <w:tcPr>
            <w:tcW w:type="dxa" w:w="54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Ganho de peso</w:t>
            </w:r>
          </w:p>
        </w:tc>
        <w:tc>
          <w:tcPr>
            <w:tcW w:type="dxa" w:w="36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0,7 @ por mês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Proporção de matrizes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35%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Desfrute de referência por modalidade: CRIA 24% · CICLO_COMPLETO 30% · CRIA_RECRIA 32,5% · RECRIA 45% · RECRIA_ENGORDA 72,5% · ENGORDA 100%.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Auditoria e controles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É o capítulo onde o projeto se distancia dos concorrentes: não basta calcular bem, é preciso poder provar o que foi calculado e com base em quê.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7.1 Reconciliação de garantia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Arquivo: services/reconciliacao.py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Cruza o rebanho declarado em documentos distintos para detectar superavaliação: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56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representa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Ficha sanitária (órgão estadual)</w:t>
            </w:r>
          </w:p>
        </w:tc>
        <w:tc>
          <w:tcPr>
            <w:tcW w:type="dxa" w:w="5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Piso físico — animais vacinados, não pode ser forjado</w:t>
            </w:r>
          </w:p>
        </w:tc>
      </w:tr>
      <w:tr>
        <w:tc>
          <w:tcPr>
            <w:tcW w:type="dxa" w:w="34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Imposto de Renda</w:t>
            </w:r>
          </w:p>
        </w:tc>
        <w:tc>
          <w:tcPr>
            <w:tcW w:type="dxa" w:w="56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Declaração feita à Receita Federal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GTA</w:t>
            </w:r>
          </w:p>
        </w:tc>
        <w:tc>
          <w:tcPr>
            <w:tcW w:type="dxa" w:w="5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Movimentações recentes de entrada e saída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caso real coberto por teste: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45.361 cabeças declaradas contra 9.433 na ficha sanitária.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7.2 Consistência do rebanho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Arquivo: services/consistencia_rebanho.py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Produz um score de 0 a 100 com flags automáticos: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2800"/>
        <w:gridCol w:w="1200"/>
        <w:gridCol w:w="5026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Pirâmide invertida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</w:t>
            </w:r>
          </w:p>
        </w:tc>
        <w:tc>
          <w:tcPr>
            <w:tcW w:type="dxa" w:w="50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Bezerros acima de adultos × fator esperado</w:t>
            </w:r>
          </w:p>
        </w:tc>
      </w:tr>
      <w:tr>
        <w:tc>
          <w:tcPr>
            <w:tcW w:type="dxa" w:w="28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Touro impossível</w:t>
            </w:r>
          </w:p>
        </w:tc>
        <w:tc>
          <w:tcPr>
            <w:tcW w:type="dxa" w:w="12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</w:t>
            </w:r>
          </w:p>
        </w:tc>
        <w:tc>
          <w:tcPr>
            <w:tcW w:type="dxa" w:w="50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Nenhum boi declarado com muitas matrizes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Matrizes sem bezerros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Alerta</w:t>
            </w:r>
          </w:p>
        </w:tc>
        <w:tc>
          <w:tcPr>
            <w:tcW w:type="dxa" w:w="50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Matrizes adultas presentes e zero bezerros</w:t>
            </w:r>
          </w:p>
        </w:tc>
      </w:tr>
      <w:tr>
        <w:tc>
          <w:tcPr>
            <w:tcW w:type="dxa" w:w="28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Relação F/M anômala</w:t>
            </w:r>
          </w:p>
        </w:tc>
        <w:tc>
          <w:tcPr>
            <w:tcW w:type="dxa" w:w="12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Alerta</w:t>
            </w:r>
          </w:p>
        </w:tc>
        <w:tc>
          <w:tcPr>
            <w:tcW w:type="dxa" w:w="50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Proporção fora do padrão do ciclo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Crescimento implausível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</w:t>
            </w:r>
          </w:p>
        </w:tc>
        <w:tc>
          <w:tcPr>
            <w:tcW w:type="dxa" w:w="50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Rebanho cresceu mais de 200% em 12 meses</w:t>
            </w:r>
          </w:p>
        </w:tc>
      </w:tr>
      <w:tr>
        <w:tc>
          <w:tcPr>
            <w:tcW w:type="dxa" w:w="28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Categoria desaparecida</w:t>
            </w:r>
          </w:p>
        </w:tc>
        <w:tc>
          <w:tcPr>
            <w:tcW w:type="dxa" w:w="12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Alerta</w:t>
            </w:r>
          </w:p>
        </w:tc>
        <w:tc>
          <w:tcPr>
            <w:tcW w:type="dxa" w:w="50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Categoria com mais de 50 cabeças sumiu no histórico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Havendo erro, e sendo a recomendação Aprovar, o sistema rebaixa automaticamente para Ressalva com a justificativa registrada.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7.3 Desfrute contra a própria referência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Cada modalidade tem um teto de desfrute; acima dele o sistema alerta: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4400"/>
        <w:gridCol w:w="4626"/>
      </w:tblGrid>
      <w:tr>
        <w:trPr>
          <w:tblHeader/>
        </w:trPr>
        <w:tc>
          <w:tcPr>
            <w:tcW w:type="dxa" w:w="4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Ciclo</w:t>
            </w:r>
          </w:p>
        </w:tc>
        <w:tc>
          <w:tcPr>
            <w:tcW w:type="dxa" w:w="46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Teto de desfrute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</w:t>
            </w:r>
          </w:p>
        </w:tc>
        <w:tc>
          <w:tcPr>
            <w:tcW w:type="dxa" w:w="4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44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CICLO_COMPLETO</w:t>
            </w:r>
          </w:p>
        </w:tc>
        <w:tc>
          <w:tcPr>
            <w:tcW w:type="dxa" w:w="46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CRIA_RECRIA</w:t>
            </w:r>
          </w:p>
        </w:tc>
        <w:tc>
          <w:tcPr>
            <w:tcW w:type="dxa" w:w="4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44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RECRIA</w:t>
            </w:r>
          </w:p>
        </w:tc>
        <w:tc>
          <w:tcPr>
            <w:tcW w:type="dxa" w:w="46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55%</w:t>
            </w:r>
          </w:p>
        </w:tc>
      </w:tr>
      <w:tr>
        <w:tc>
          <w:tcPr>
            <w:tcW w:type="dxa" w:w="4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RECRIA_ENGORDA</w:t>
            </w:r>
          </w:p>
        </w:tc>
        <w:tc>
          <w:tcPr>
            <w:tcW w:type="dxa" w:w="4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85%</w:t>
            </w:r>
          </w:p>
        </w:tc>
      </w:tr>
      <w:tr>
        <w:tc>
          <w:tcPr>
            <w:tcW w:type="dxa" w:w="44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ENGORDA</w:t>
            </w:r>
          </w:p>
        </w:tc>
        <w:tc>
          <w:tcPr>
            <w:tcW w:type="dxa" w:w="46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120%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Essa guarda já pegou um bug do nosso próprio simulador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o caso está detalhado no capítulo 16.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7.4 Memória de cálculo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Todo resultado traz passo, valor e explicação. É o que torna o parecer defensável diante do comitê de crédito e do Banco Central, onde um score opaco não é.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7.5 Trilha de auditoria de acesso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Arquivo: services/auditoria.py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Registra quem viu o quê, quando e de onde. Sem isso, a instituição não responde à própria auditoria interna sobre quem consultou dado de crédito de qual cliente — e essa pergunta aparece na área de compras antes de qualquer discussão sobre o modelo.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Eventos registrados: login, login recusado, logout, parecer gerado, PDF baixado, histórico e pareceres consultados, ciclo confirmado, documento lido, ação administrativa, vínculo e consulta por WhatsApp, ativação e desativação do segundo fator, e as operações de LGPD.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As três regras de desenho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Append-only. Não existe rota de escrita nem de exclusão de evento individual — uma trilha que pode ser editada não é trilha, é anotação.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Nunca derruba a operação. Falha ao registrar vira log de erro no servidor, jamais erro para o usuário. Um parecer que falha porque a auditoria caiu acaba com a auditoria desligada na primeira sexta-feira ruim.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Registra a referência, não o conteúdo. Copiar o rebanho para uma segunda tabela apenas multiplicaria a superfície de vazamento do dado que se quer proteger.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 consulta fica em GET /api/admin/auditoria, restrita a administrador — a trilha diz quem acessou dado de quem, então ela própria é dado sensível.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7.6 Ingestão de dados do IBGE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Arquivo: services/ibge_sidra.py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É o caminho para tirar do zero o contador de parâmetros medidos:</w:t>
      </w:r>
    </w:p>
    <w:tbl>
      <w:tblPr>
        <w:tblW w:type="dxa" w:w="9026"/>
        <w:tblBorders>
          <w:top w:val="single" w:color="C8D0DC" w:sz="4"/>
          <w:left w:val="single" w:color="1F3864" w:sz="18"/>
          <w:bottom w:val="single" w:color="C8D0DC" w:sz="4"/>
          <w:right w:val="single" w:color="C8D0DC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7F8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desfrute(UF) = cabeças abatidas (tabela 1092)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             ÷ efetivo do rebanho (tabela 3939)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python ingerir_ibge.py --so-mostrar   # busca e imprime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python ingerir_ibge.py                # grava dados/desfrute_uf.json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none"/>
          <w:left w:val="single" w:color="A32020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3F3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Ressalva que vai junto com o número.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Abate dividido por efetivo não é desfrute exato: ignora a venda de animal vivo entre propriedades e inclui animal abatido em UF diferente da de origem (MT exporta boi em pé; SP abate mais do que cria). É o proxy padrão do setor e é citável, mas o parecer precisa dizer o que ele é.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none"/>
          <w:left w:val="single" w:color="A32020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3F3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Nunca foi exercitado contra a API real.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 ambiente de desenvolvimento bloqueia a saída para o IBGE, então o parsing foi escrito a partir da documentação e testado com fixtures. O parser detecta o cabeçalho em vez de assumir a primeira posição, trata os marcadores do IBGE ("-", "..", "...", "X") como ausência e não como zero, e levanta erro com o payload recebido quando a forma não bate — para que a primeira execução com rede falhe alto, em vez de gravar lixo silenciosamente.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7.7 Segundo fator de autenticação (2FA)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Arquivo: services/totp.py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Implementação da RFC 6238 sobre a biblioteca padrão do Python. São cerca de 60 linhas de HMAC; trazer um pacote de terceiro adicionaria superfície de supply chain no caminho de autenticação, que é o último lugar onde se quer essa dependência.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Validado contra os seis vetores oficiais do Apêndice B da RFC 6238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se falhassem, nenhum aplicativo autenticador do mundo geraria o código que o servidor espera.</w:t>
      </w:r>
    </w:p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que costuma sair errado numa implementação caseira, e aqui está resolvido: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Armadilha</w:t>
            </w:r>
          </w:p>
        </w:tc>
        <w:tc>
          <w:tcPr>
            <w:tcW w:type="dxa" w:w="52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foi resolvida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Reuso do mesmo código dentro da janela</w:t>
            </w:r>
          </w:p>
        </w:tc>
        <w:tc>
          <w:tcPr>
            <w:tcW w:type="dxa" w:w="5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contador aceito é persistido; o código não vale duas vezes</w:t>
            </w:r>
          </w:p>
        </w:tc>
      </w:tr>
      <w:tr>
        <w:tc>
          <w:tcPr>
            <w:tcW w:type="dxa" w:w="38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Comparação não constante vaza o prefixo pelo tempo</w:t>
            </w:r>
          </w:p>
        </w:tc>
        <w:tc>
          <w:tcPr>
            <w:tcW w:type="dxa" w:w="52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hmac.compare_digest em toda comparação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Janela larga "para o relógio do celular"</w:t>
            </w:r>
          </w:p>
        </w:tc>
        <w:tc>
          <w:tcPr>
            <w:tcW w:type="dxa" w:w="5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±1 passo (±30s) — janela larga multiplica a força bruta</w:t>
            </w:r>
          </w:p>
        </w:tc>
      </w:tr>
      <w:tr>
        <w:tc>
          <w:tcPr>
            <w:tcW w:type="dxa" w:w="38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Ativar o 2FA antes de confirmar que funciona</w:t>
            </w:r>
          </w:p>
        </w:tc>
        <w:tc>
          <w:tcPr>
            <w:tcW w:type="dxa" w:w="52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segredo fica gravado inativo até um código provar o app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Sessão criada antes do segundo fator</w:t>
            </w:r>
          </w:p>
        </w:tc>
        <w:tc>
          <w:tcPr>
            <w:tcW w:type="dxa" w:w="5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id vai para totp_pendente, não para a sessão autenticada</w:t>
            </w:r>
          </w:p>
        </w:tc>
      </w:tr>
      <w:tr>
        <w:tc>
          <w:tcPr>
            <w:tcW w:type="dxa" w:w="38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Etapa pendente que nunca expira</w:t>
            </w:r>
          </w:p>
        </w:tc>
        <w:tc>
          <w:tcPr>
            <w:tcW w:type="dxa" w:w="52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Expira em 5 minutos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Perder o celular significa perder a conta</w:t>
            </w:r>
          </w:p>
        </w:tc>
        <w:tc>
          <w:tcPr>
            <w:tcW w:type="dxa" w:w="5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códigos de recuperação de uso único, guardados em hash</w:t>
            </w:r>
          </w:p>
        </w:tc>
      </w:tr>
      <w:tr>
        <w:tc>
          <w:tcPr>
            <w:tcW w:type="dxa" w:w="38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Sessão sequestrada desliga o 2FA</w:t>
            </w:r>
          </w:p>
        </w:tc>
        <w:tc>
          <w:tcPr>
            <w:tcW w:type="dxa" w:w="52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Desativar exige a senha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Rotas: POST /api/2fa/iniciar · POST /api/2fa/confirmar · POST /api/2fa/desativar · GET /api/2fa/estado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7.8 LGPD como código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Arquivo: services/lgpd.py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Cobre as obrigações que se implementam. Não cobre as que se escrevem — base legal, encarregado (DPO), política de privacidade e contrato de operador são decisão da empresa, não do software.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A tensão que o desenho resolve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 trilha de auditoria é append-only por decisão explícita: uma trilha que se edita não é trilha. Mas o Art. 18 da LGPD dá ao titular o direito à eliminação, e a trilha guarda e-mail e endereço IP.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Os dois não se atendem apagando linhas. A resolução é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anonimizar, não excluir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: o evento permanece (quem audita continua sabendo que às 14h32 alguém consultou o parecer 412), mas a pessoa deixa de ser identificável.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pseudônimo é estável de propósito. Trocar por NULL destruiria a capacidade de reconstruir uma sessão — e "o mesmo usuário fez 40 consultas em 3 minutos" é exatamente o que uma investigação de vazamento precisa enxergar.</w:t>
      </w:r>
    </w:p>
    <w:p>
      <w:pPr>
        <w:spacing w:after="80"/>
      </w:pP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 (restrita a administrador)</w:t>
            </w:r>
          </w:p>
        </w:tc>
        <w:tc>
          <w:tcPr>
            <w:tcW w:type="dxa" w:w="48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/api/admin/lgpd/inventario</w:t>
            </w:r>
          </w:p>
        </w:tc>
        <w:tc>
          <w:tcPr>
            <w:tcW w:type="dxa" w:w="48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Registro das operações de tratamento (Art. 37)</w:t>
            </w:r>
          </w:p>
        </w:tc>
      </w:tr>
      <w:tr>
        <w:tc>
          <w:tcPr>
            <w:tcW w:type="dxa" w:w="42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/api/admin/lgpd/exportar/&lt;id&gt;</w:t>
            </w:r>
          </w:p>
        </w:tc>
        <w:tc>
          <w:tcPr>
            <w:tcW w:type="dxa" w:w="48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Portabilidade (Art. 18, V)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/api/admin/lgpd/anonimizar/&lt;id&gt;</w:t>
            </w:r>
          </w:p>
        </w:tc>
        <w:tc>
          <w:tcPr>
            <w:tcW w:type="dxa" w:w="48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Direito de eliminação (Art. 18)</w:t>
            </w:r>
          </w:p>
        </w:tc>
      </w:tr>
      <w:tr>
        <w:tc>
          <w:tcPr>
            <w:tcW w:type="dxa" w:w="42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 /api/admin/lgpd/purgar-auditoria</w:t>
            </w:r>
          </w:p>
        </w:tc>
        <w:tc>
          <w:tcPr>
            <w:tcW w:type="dxa" w:w="48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Retenção — padrão de 730 dias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Pareceres não são apagados.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São dado do cliente da consultoria, com valor probatório e prazo próprio de guarda. Anonimizar um analista não destrói o documento que ele emitiu.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 purga por retenção é a única exceção ao append-only, e é limitada por desenho: apaga em bloco por corte de tempo, não aceita filtro por usuário nem por evento — um teste inspeciona a assinatura da função para garantir isso — e ela própria fica registrada na trilha.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7.9 Origem dos parâmetros (proveniência)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Arquivo: services/proveniencia.py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Um deságio de 35% é política: a instituição escolheu, e pode mudar. Um desfrute de 21,7% seria medição: o IBGE apurou, e se cita a fonte. Uma natalidade de 70% é referência: vem da bibliografia, não foi apurada naquela fazenda. Um custo digitado é declaração: foi informado, não verificado.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Antes todos apareciam iguais na tela — eram apenas números. Agora cada parâmetro carrega origem, fonte, ano e UF, e o parecer traz a tabela completa:</w:t>
      </w:r>
    </w:p>
    <w:tbl>
      <w:tblPr>
        <w:tblW w:type="dxa" w:w="9026"/>
        <w:tblBorders>
          <w:top w:val="single" w:color="C8D0DC" w:sz="4"/>
          <w:left w:val="single" w:color="1F3864" w:sz="18"/>
          <w:bottom w:val="single" w:color="C8D0DC" w:sz="4"/>
          <w:right w:val="single" w:color="C8D0DC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7F8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26 parâmetros sustentam este parecer: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0 medidos, 13 de referência, 13 de política e 0 declarados.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 classe Parametro herda de float, então o motor de simulação inteiro segue fazendo aritmética sem saber que o número tem etiqueta. Trocar uma referência por uma medição é trocar o registro — nenhuma fórmula muda.</w:t>
      </w:r>
    </w:p>
    <w:p>
      <w:pPr>
        <w:spacing w:after="80"/>
      </w:pPr>
    </w:p>
    <w:tbl>
      <w:tblPr>
        <w:tblW w:type="dxa" w:w="9026"/>
        <w:tblBorders>
          <w:top w:val="none"/>
          <w:left w:val="single" w:color="1E6B3A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1F7F3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O zero em "medidos" é honesto, e é a régua.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Hoje o projeto não tem nenhuma série apurada por terceiro. Um teste guarda esse fato e falha no dia em que alguém marcar algo como medido sem fonte real.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Preço por praça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Arquivo: services/precos_regionais.py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indicador CEPEA/ESALQ é uma praça de São Paulo. O sistema aplicava esse mesmo preço no Brasil inteiro.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Informado o município, o diferencial da UF é aplicado uma única vez, no ponto onde os preços são resolvidos, e propaga para valoração, receita, fluxo de caixa, breakeven, sensibilidade e garantia.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8.1 O mesmo rebanho, o mesmo crédito de R$ 1,5 milhão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1200"/>
        <w:gridCol w:w="1200"/>
        <w:gridCol w:w="2600"/>
        <w:gridCol w:w="1400"/>
        <w:gridCol w:w="2626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Praça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Garantia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LTV</w:t>
            </w:r>
          </w:p>
        </w:tc>
        <w:tc>
          <w:tcPr>
            <w:tcW w:type="dxa" w:w="26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Veredito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SP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R$ 2.070.802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72,4%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ajustada</w:t>
            </w:r>
          </w:p>
        </w:tc>
      </w:tr>
      <w:tr>
        <w:tc>
          <w:tcPr>
            <w:tcW w:type="dxa" w:w="12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GO</w:t>
            </w:r>
          </w:p>
        </w:tc>
        <w:tc>
          <w:tcPr>
            <w:tcW w:type="dxa" w:w="12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−4%</w:t>
            </w:r>
          </w:p>
        </w:tc>
        <w:tc>
          <w:tcPr>
            <w:tcW w:type="dxa" w:w="26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R$ 1.987.970</w:t>
            </w:r>
          </w:p>
        </w:tc>
        <w:tc>
          <w:tcPr>
            <w:tcW w:type="dxa" w:w="14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75,5%</w:t>
            </w:r>
          </w:p>
        </w:tc>
        <w:tc>
          <w:tcPr>
            <w:tcW w:type="dxa" w:w="26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ajustada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MT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−7%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R$ 1.925.846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77,9%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ajustada</w:t>
            </w:r>
          </w:p>
        </w:tc>
      </w:tr>
      <w:tr>
        <w:tc>
          <w:tcPr>
            <w:tcW w:type="dxa" w:w="12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</w:t>
            </w:r>
          </w:p>
        </w:tc>
        <w:tc>
          <w:tcPr>
            <w:tcW w:type="dxa" w:w="12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−10%</w:t>
            </w:r>
          </w:p>
        </w:tc>
        <w:tc>
          <w:tcPr>
            <w:tcW w:type="dxa" w:w="26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R$ 1.863.722</w:t>
            </w:r>
          </w:p>
        </w:tc>
        <w:tc>
          <w:tcPr>
            <w:tcW w:type="dxa" w:w="14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80,5%</w:t>
            </w:r>
          </w:p>
        </w:tc>
        <w:tc>
          <w:tcPr>
            <w:tcW w:type="dxa" w:w="26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insuficiente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none"/>
          <w:left w:val="single" w:color="A32020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3F3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Origem dos diferenciais.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São calibração de referência, não medição própria. O parecer, a tela e o PDF declaram isso por escrito. Limitação conhecida: o mercado de reposição é mais segmentado regionalmente que o de boi gordo, então o diferencial verdadeiro do bezerro costuma ser maior — por ora aplicamos o mesmo fator.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8.2 Cotações automáticas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Scraper diário às 8h — CEPEA/ESALQ (boi e bezerro) e Scot (vaca) — com faixas de sanidade que rejeitam valor absurdo e fallback para a última cotação salva.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IA e canais de atendimento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9.1 Narrativa e chat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Groq com Llama 3.3 70B. Gera a leitura em prosa do parecer e responde perguntas sobre ele. É assíncrono por padrão, para não somar 20 segundos de latência à análise.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9.2 WhatsApp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mesmo chat, no canal onde o analista já está.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regra que impede vazamento: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o webhook recebe um número de telefone e nada mais. Sem vínculo explícito, responder sobre um parecer entregaria dado de crédito a quem descobrisse o número do bot. O vínculo exige um código de uso único, com 15 minutos de validade, gerado por um analista logado. Número desconhecido não faz o modelo ser nem consultado.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 autenticidade de cada POST é verificada por HMAC-SHA256. Sem a variável WHATSAPP_APP_SECRET a requisição é recusada, não aceita — segredo ausente não vira "aceita tudo".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Detalhes cobertos que quebrariam em produção: o nono dígito (a Meta entrega o celular brasileiro sem ele, o usuário digita com), recibos de leitura que gerariam laço infinito, e o HTTP 200 obrigatório em caso de falha, para a Meta não reenviar indefinidamente.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O loop de dado real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Todo o treino do modelo é sintético. O botão de confirmação de ciclo é o único caminho por onde entra rótulo humano: o analista confirma a modalidade classificada ou aponta a correta entre as seis.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O invariante, coberto por teste: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o retreino consome exclusivamente registros confirmados. Registro não confirmado não entra — o modelo nunca aprende com a própria previsão.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 correção vale mais que a confirmação: é ela que mostra onde a faixa de referência está errada.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Multiempresa e multiusuário</w:t>
      </w:r>
    </w:p>
    <w:tbl>
      <w:tblPr>
        <w:tblW w:type="dxa" w:w="9026"/>
        <w:tblBorders>
          <w:top w:val="single" w:color="C8D0DC" w:sz="4"/>
          <w:left w:val="single" w:color="1F3864" w:sz="18"/>
          <w:bottom w:val="single" w:color="C8D0DC" w:sz="4"/>
          <w:right w:val="single" w:color="C8D0DC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7F8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Consultoria 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├── Analista 1 (admin)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├── Analista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└── Fazendas: [Fazenda Norte, Fazenda Sul]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Consultoria 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├── Analista 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└── Fazendas: [Fazenda Leste]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Isolamento total entre consultorias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Um mesmo usuário pode ser membro de múltiplas empresas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Painel /admin para gestão de empresas, membros e permissões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Logo e nome da consultoria configuráveis por empresa, aparecendo no PDF do parecer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Tecnologia e arquitetura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60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60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3.11.15 + Flask</w:t>
            </w:r>
          </w:p>
        </w:tc>
      </w:tr>
      <w:tr>
        <w:tc>
          <w:tcPr>
            <w:tcW w:type="dxa" w:w="30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60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scikit-learn, XGBoost, LightGBM, SHAP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0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(produção) / SQLite (desenvolvimento)</w:t>
            </w:r>
          </w:p>
        </w:tc>
      </w:tr>
      <w:tr>
        <w:tc>
          <w:tcPr>
            <w:tcW w:type="dxa" w:w="30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Geração de PDF</w:t>
            </w:r>
          </w:p>
        </w:tc>
        <w:tc>
          <w:tcPr>
            <w:tcW w:type="dxa" w:w="60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reportlab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Leitura de PDF</w:t>
            </w:r>
          </w:p>
        </w:tc>
        <w:tc>
          <w:tcPr>
            <w:tcW w:type="dxa" w:w="60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poppler, pdfplumber, Tesseract (OCR)</w:t>
            </w:r>
          </w:p>
        </w:tc>
      </w:tr>
      <w:tr>
        <w:tc>
          <w:tcPr>
            <w:tcW w:type="dxa" w:w="30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 generativa</w:t>
            </w:r>
          </w:p>
        </w:tc>
        <w:tc>
          <w:tcPr>
            <w:tcW w:type="dxa" w:w="60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Groq (Llama 3.3 70B)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60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HTML / CSS / JavaScript, sem framework</w:t>
            </w:r>
          </w:p>
        </w:tc>
      </w:tr>
      <w:tr>
        <w:tc>
          <w:tcPr>
            <w:tcW w:type="dxa" w:w="30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Agendador</w:t>
            </w:r>
          </w:p>
        </w:tc>
        <w:tc>
          <w:tcPr>
            <w:tcW w:type="dxa" w:w="60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APScheduler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Deploy</w:t>
            </w:r>
          </w:p>
        </w:tc>
        <w:tc>
          <w:tcPr>
            <w:tcW w:type="dxa" w:w="60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 no Railway, com auto-deploy a cada push em main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12.1 Estrutura de arquivos</w:t>
      </w:r>
    </w:p>
    <w:tbl>
      <w:tblPr>
        <w:tblW w:type="dxa" w:w="9026"/>
        <w:tblBorders>
          <w:top w:val="single" w:color="C8D0DC" w:sz="4"/>
          <w:left w:val="single" w:color="1F3864" w:sz="18"/>
          <w:bottom w:val="single" w:color="C8D0DC" w:sz="4"/>
          <w:right w:val="single" w:color="C8D0DC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7F8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app.py                        # Flask — rotas, autenticação, scheduler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ml_engine.py                  # Ensemble ML + simulações por coortes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database.py                   # Abstração SQLite / PostgreSQL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scraper.py                    # Cotações diárias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pdf_parsers.py                # 7 agências estaduais + genérico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treinar_ciclos.py             # Geração do conjunto de treino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gunicorn.conf.py              # Workers, preload, hook do scheduler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services/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fluxo_caixa_gep.py          # Valoração + DRE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parecer_credito.py          # Price, DSCR, ano crítico, rebaixamento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parecer_pdf.py              # Geração do PDF do parecer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garantia.py                 # Deságio por categoria e LTV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endividamento.py            # Inventário por credor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precos_regionais.py         # Diferencial por praça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consistencia_rebanho.py     # Score + flags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reconciliacao.py            # IR × GTA × ficha sanitária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benchmarks_nacionais.py     # Benchmarks multifonte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parametros_zootecnicos.py   # Parâmetros por ciclo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custos_desembolso.py        # Custo por componente e modalidade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pesos_rebanho.py            # Cabeças → arrobas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precos_diarios.py           # Parsing de cotações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proveniencia.py             # Origem de cada parâmetro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auditoria.py                # Trilha de acesso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lgpd.py                     # Inventário, anonimização, retenção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totp.py                     # Segundo fator (RFC 6238)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ibge_sidra.py               # Ingestão de dados públicos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groq_narrativa.py           # Narrativa e chat com 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whatsapp.py                 # Canal WhatsApp (Meta Cloud API)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importar_excel.py           # Leitura de planilha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email_service.py            # SMTP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templates/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index.html                  # Aplicação principal (SPA)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admin.html · login.html · cadastro.html · login_2fa.html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tests/                        # pytest — 63 arquivos, 587 casos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12.2 Banco de dados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Doze tabelas: usuarios · fazendas · registros · pareceres · empresas · empresa_membros · cotacao_arroba · meta · reset_tokens · whatsapp_vinculos · whatsapp_codigos · auditoria_acessos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13. API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São 51 rotas HTTP, das quais 34 são endpoints de API. As principais: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1300"/>
        <w:gridCol w:w="3300"/>
        <w:gridCol w:w="4426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4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/api/classificar</w:t>
            </w:r>
          </w:p>
        </w:tc>
        <w:tc>
          <w:tcPr>
            <w:tcW w:type="dxa" w:w="44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Classificar rebanho e gerar o parecer completo</w:t>
            </w:r>
          </w:p>
        </w:tc>
      </w:tr>
      <w:tr>
        <w:tc>
          <w:tcPr>
            <w:tcW w:type="dxa" w:w="13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/api/confirmar-ciclo</w:t>
            </w:r>
          </w:p>
        </w:tc>
        <w:tc>
          <w:tcPr>
            <w:tcW w:type="dxa" w:w="44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Confirmar ou corrigir a classificação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/api/parecer/pdf</w:t>
            </w:r>
          </w:p>
        </w:tc>
        <w:tc>
          <w:tcPr>
            <w:tcW w:type="dxa" w:w="44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Gerar o PDF do parecer</w:t>
            </w:r>
          </w:p>
        </w:tc>
      </w:tr>
      <w:tr>
        <w:tc>
          <w:tcPr>
            <w:tcW w:type="dxa" w:w="13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POST/GET</w:t>
            </w:r>
          </w:p>
        </w:tc>
        <w:tc>
          <w:tcPr>
            <w:tcW w:type="dxa" w:w="33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/api/cenario · /api/cenarios</w:t>
            </w:r>
          </w:p>
        </w:tc>
        <w:tc>
          <w:tcPr>
            <w:tcW w:type="dxa" w:w="44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Projeção de cenários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/api/reconciliacao</w:t>
            </w:r>
          </w:p>
        </w:tc>
        <w:tc>
          <w:tcPr>
            <w:tcW w:type="dxa" w:w="44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Reconciliar documentos de garantia</w:t>
            </w:r>
          </w:p>
        </w:tc>
      </w:tr>
      <w:tr>
        <w:tc>
          <w:tcPr>
            <w:tcW w:type="dxa" w:w="13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/api/ler-pdf · /api/ler-planilha</w:t>
            </w:r>
          </w:p>
        </w:tc>
        <w:tc>
          <w:tcPr>
            <w:tcW w:type="dxa" w:w="44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Importação de documentos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/api/template/download</w:t>
            </w:r>
          </w:p>
        </w:tc>
        <w:tc>
          <w:tcPr>
            <w:tcW w:type="dxa" w:w="44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Template de planilha</w:t>
            </w:r>
          </w:p>
        </w:tc>
      </w:tr>
      <w:tr>
        <w:tc>
          <w:tcPr>
            <w:tcW w:type="dxa" w:w="13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/api/precos/live</w:t>
            </w:r>
          </w:p>
        </w:tc>
        <w:tc>
          <w:tcPr>
            <w:tcW w:type="dxa" w:w="44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Cotações do dia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/api/narrativa · /api/chat</w:t>
            </w:r>
          </w:p>
        </w:tc>
        <w:tc>
          <w:tcPr>
            <w:tcW w:type="dxa" w:w="44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IA sobre o parecer</w:t>
            </w:r>
          </w:p>
        </w:tc>
      </w:tr>
      <w:tr>
        <w:tc>
          <w:tcPr>
            <w:tcW w:type="dxa" w:w="13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/api/whatsapp/codigo</w:t>
            </w:r>
          </w:p>
        </w:tc>
        <w:tc>
          <w:tcPr>
            <w:tcW w:type="dxa" w:w="44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Código de vínculo do WhatsApp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/api/fazendas</w:t>
            </w:r>
          </w:p>
        </w:tc>
        <w:tc>
          <w:tcPr>
            <w:tcW w:type="dxa" w:w="44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Fazendas e histórico</w:t>
            </w:r>
          </w:p>
        </w:tc>
      </w:tr>
      <w:tr>
        <w:tc>
          <w:tcPr>
            <w:tcW w:type="dxa" w:w="13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33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/api/empresa/perfil</w:t>
            </w:r>
          </w:p>
        </w:tc>
        <w:tc>
          <w:tcPr>
            <w:tcW w:type="dxa" w:w="44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Perfil da consultoria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/api/admin/auditoria</w:t>
            </w:r>
          </w:p>
        </w:tc>
        <w:tc>
          <w:tcPr>
            <w:tcW w:type="dxa" w:w="44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Trilha de auditoria (administrador)</w:t>
            </w:r>
          </w:p>
        </w:tc>
      </w:tr>
      <w:tr>
        <w:tc>
          <w:tcPr>
            <w:tcW w:type="dxa" w:w="13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33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/api/admin/lgpd/*</w:t>
            </w:r>
          </w:p>
        </w:tc>
        <w:tc>
          <w:tcPr>
            <w:tcW w:type="dxa" w:w="44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Operações de LGPD (administrador)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POST/GET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/api/2fa/*</w:t>
            </w:r>
          </w:p>
        </w:tc>
        <w:tc>
          <w:tcPr>
            <w:tcW w:type="dxa" w:w="44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Segundo fator de autenticação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13.1 Exemplo de chamada</w:t>
      </w:r>
    </w:p>
    <w:tbl>
      <w:tblPr>
        <w:tblW w:type="dxa" w:w="9026"/>
        <w:tblBorders>
          <w:top w:val="single" w:color="C8D0DC" w:sz="4"/>
          <w:left w:val="single" w:color="1F3864" w:sz="18"/>
          <w:bottom w:val="single" w:color="C8D0DC" w:sz="4"/>
          <w:right w:val="single" w:color="C8D0DC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7F8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import requests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r = requests.post('http://localhost:5050/api/classificar', json={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  # [f00F, f00M, f05F, f05M, f13F, f13M, f25F, f25M, facF, facM]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  'valores': [300, 280, 400, 200, 900, 1200, 250, 80, 600, 40],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  'municipio': 'Sinop - MT',      # define a praça dos preços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  'fazenda': 'Fazenda Modelo',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  'proprietario': 'João da Silva',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  'credito_valor': 500000,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  'prazo_meses': 24,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  'juros_aa': 0.10,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  'carencia_meses':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  'dividas':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      {'instituicao': 'Banco do Brasil',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       'saldo_devedor': 800000, 'parcela_mensal': 22000},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   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})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p = r.json()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print(p['tipo'])                                 # CICLO_COMPLETO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print(p['parecer']['conclusao']['recomendacao'])  # aprovar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print(p['parecer']['conclusao']['dscr_minimo'])   # DSCR do ano crítico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print(p['parecer']['garantia']['ltv'])            # LTV sobre execução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print(p['parecer']['conclusao']['memoria'])       # memória de cálculo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14. Instalação e deploy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14.1 Ambiente local</w:t>
      </w:r>
    </w:p>
    <w:tbl>
      <w:tblPr>
        <w:tblW w:type="dxa" w:w="9026"/>
        <w:tblBorders>
          <w:top w:val="single" w:color="C8D0DC" w:sz="4"/>
          <w:left w:val="single" w:color="1F3864" w:sz="18"/>
          <w:bottom w:val="single" w:color="C8D0DC" w:sz="4"/>
          <w:right w:val="single" w:color="C8D0DC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7F8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sudo apt-get install poppler-utils tesseract-ocr tesseract-ocr-por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python app.py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# http://localhost:5050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Os três pacotes do apt são binários de sistema que o pip não traz: o pdftotext (poppler) é o primeiro estágio da extração e o Tesseract é o terceiro. Sem eles a leitura de PDF continua funcionando pelo pdfplumber, mas perde o layout em coluna das fichas e não lê nada de documento escaneado.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Crie uma conta em /cadastro. Na primeira execução o modelo é treinado do zero, o que leva minutos — normalmente ele é carregado de gestao_model.pkl, versionado no repositório.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14.2 Variáveis de ambiente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52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Efeito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5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PostgreSQL; ausente = SQLite</w:t>
            </w:r>
          </w:p>
        </w:tc>
      </w:tr>
      <w:tr>
        <w:tc>
          <w:tcPr>
            <w:tcW w:type="dxa" w:w="38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SECRET_KEY</w:t>
            </w:r>
          </w:p>
        </w:tc>
        <w:tc>
          <w:tcPr>
            <w:tcW w:type="dxa" w:w="52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Sessão Flask (obrigatória em produção)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ADMIN_EMAILS · ADMIN_SENHA_INICIAL</w:t>
            </w:r>
          </w:p>
        </w:tc>
        <w:tc>
          <w:tcPr>
            <w:tcW w:type="dxa" w:w="5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Administradores</w:t>
            </w:r>
          </w:p>
        </w:tc>
      </w:tr>
      <w:tr>
        <w:tc>
          <w:tcPr>
            <w:tcW w:type="dxa" w:w="38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GROQ_API_KEY</w:t>
            </w:r>
          </w:p>
        </w:tc>
        <w:tc>
          <w:tcPr>
            <w:tcW w:type="dxa" w:w="52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Liga a narrativa e o chat de IA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NARRATIVA_INLINE</w:t>
            </w:r>
          </w:p>
        </w:tc>
        <w:tc>
          <w:tcPr>
            <w:tcW w:type="dxa" w:w="5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volta a narrativa a ser bloqueante</w:t>
            </w:r>
          </w:p>
        </w:tc>
      </w:tr>
      <w:tr>
        <w:tc>
          <w:tcPr>
            <w:tcW w:type="dxa" w:w="38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WHATSAPP_TOKEN + WHATSAPP_PHONE_ID</w:t>
            </w:r>
          </w:p>
        </w:tc>
        <w:tc>
          <w:tcPr>
            <w:tcW w:type="dxa" w:w="52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Ligam o canal; ausentes = rota 404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WHATSAPP_APP_SECRET</w:t>
            </w:r>
          </w:p>
        </w:tc>
        <w:tc>
          <w:tcPr>
            <w:tcW w:type="dxa" w:w="5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Obrigatória com o canal ligado</w:t>
            </w:r>
          </w:p>
        </w:tc>
      </w:tr>
      <w:tr>
        <w:tc>
          <w:tcPr>
            <w:tcW w:type="dxa" w:w="38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WHATSAPP_VERIFY_TOKEN</w:t>
            </w:r>
          </w:p>
        </w:tc>
        <w:tc>
          <w:tcPr>
            <w:tcW w:type="dxa" w:w="52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Handshake de cadastro na Meta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SHAP_AGRUPAR_REDUNDANTES</w:t>
            </w:r>
          </w:p>
        </w:tc>
        <w:tc>
          <w:tcPr>
            <w:tcW w:type="dxa" w:w="5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volta a listar features duplicadas</w:t>
            </w:r>
          </w:p>
        </w:tc>
      </w:tr>
      <w:tr>
        <w:tc>
          <w:tcPr>
            <w:tcW w:type="dxa" w:w="38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REPOSICAO_PRECIFICADA</w:t>
            </w:r>
          </w:p>
        </w:tc>
        <w:tc>
          <w:tcPr>
            <w:tcW w:type="dxa" w:w="52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deixa de cobrar a compra de reposição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FRAC_VENDA_RECRIA_M</w:t>
            </w:r>
          </w:p>
        </w:tc>
        <w:tc>
          <w:tcPr>
            <w:tcW w:type="dxa" w:w="5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Fração dos machos 13–24m vendidos (padrão 0,83)</w:t>
            </w:r>
          </w:p>
        </w:tc>
      </w:tr>
      <w:tr>
        <w:tc>
          <w:tcPr>
            <w:tcW w:type="dxa" w:w="38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REPOR_COMPRA_DESMAMA</w:t>
            </w:r>
          </w:p>
        </w:tc>
        <w:tc>
          <w:tcPr>
            <w:tcW w:type="dxa" w:w="52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mantém a compra de desmama na cria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WEB_CONCURRENCY · WEB_THREADS · WEB_TIMEOUT</w:t>
            </w:r>
          </w:p>
        </w:tc>
        <w:tc>
          <w:tcPr>
            <w:tcW w:type="dxa" w:w="5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Ajuste de escala do gunicorn</w:t>
            </w:r>
          </w:p>
        </w:tc>
      </w:tr>
      <w:tr>
        <w:tc>
          <w:tcPr>
            <w:tcW w:type="dxa" w:w="38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SMTP_*</w:t>
            </w:r>
          </w:p>
        </w:tc>
        <w:tc>
          <w:tcPr>
            <w:tcW w:type="dxa" w:w="52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Envio de e-mail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Para desligar recursos sem mexer no código, consulte o arquivo REVERTER.md.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14.3 Escala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Arquivo: gunicorn.conf.py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sistema rodava com um único worker: atende cinco analistas e trava com cinquenta, porque uma classificação leva alguns segundos (simulação mais SHAP) e a segunda requisição espera a primeira.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Multiplicar workers de forma ingênua multiplicaria duas coisas: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O modelo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Cerca de 334 MB de RSS por processo, quase tudo do gestao_model.pkl carregado no import. Com preload_app, o modelo é importado uma vez no master e os workers nascem de fork(), com as páginas compartilhadas por copy-on-write. Medição com 2 workers: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36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Soma ingênua de RSS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852 MB</w:t>
            </w:r>
          </w:p>
        </w:tc>
      </w:tr>
      <w:tr>
        <w:tc>
          <w:tcPr>
            <w:tcW w:type="dxa" w:w="54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Memória real (PSS)</w:t>
            </w:r>
          </w:p>
        </w:tc>
        <w:tc>
          <w:tcPr>
            <w:tcW w:type="dxa" w:w="36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351 MB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Baseline com 1 worker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334 MB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segundo worker custou cerca de 17 MB, não mais 334.</w:t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O agendador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Cada worker iniciaria o seu, e o scraper bateria N vezes na mesma fonte no mesmo minuto. Pior: com preload, a thread do APScheduler iniciada no import não sobrevive ao fork() — morreria em todos os workers, e como o master não serve requisições, o scraper nunca mais rodaria, em silêncio. Por isso SCHEDULER_VIA_HOOK=1 desliga o start no import, e o hook when_ready o inicia uma única vez, no master.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14.4 Deploy no Railway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Push em main dispara deploy automático. A imagem usa python:3.11.15 e instala quatro pacotes do apt que o pip não cobre, porque a imagem -slim não traz nenhum: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Pacote</w:t>
            </w:r>
          </w:p>
        </w:tc>
        <w:tc>
          <w:tcPr>
            <w:tcW w:type="dxa" w:w="64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quê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libgomp1</w:t>
            </w:r>
          </w:p>
        </w:tc>
        <w:tc>
          <w:tcPr>
            <w:tcW w:type="dxa" w:w="64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LightGBM e XGBoost o carregam por ctypes em runtime; sem ele o app não sobe</w:t>
            </w:r>
          </w:p>
        </w:tc>
      </w:tr>
      <w:tr>
        <w:tc>
          <w:tcPr>
            <w:tcW w:type="dxa" w:w="26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poppler-utils</w:t>
            </w:r>
          </w:p>
        </w:tc>
        <w:tc>
          <w:tcPr>
            <w:tcW w:type="dxa" w:w="64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Fornece o pdftotext, primeiro estágio da extração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tesseract-ocr</w:t>
            </w:r>
          </w:p>
        </w:tc>
        <w:tc>
          <w:tcPr>
            <w:tcW w:type="dxa" w:w="64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Terceiro estágio: PDF escaneado, sem camada de texto</w:t>
            </w:r>
          </w:p>
        </w:tc>
      </w:tr>
      <w:tr>
        <w:tc>
          <w:tcPr>
            <w:tcW w:type="dxa" w:w="26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tesseract-ocr-por</w:t>
            </w:r>
          </w:p>
        </w:tc>
        <w:tc>
          <w:tcPr>
            <w:tcW w:type="dxa" w:w="64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Modelo de português do OCR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teste tests/test_extracao_dependencias.py lê o Dockerfile e falha se um desses pacotes sair sem que o uso correspondente saia junto — foi por não existir esse teste que a imagem rodou meses com dois dos três estágios de extração ausentes.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Dependências fixadas em "==".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Com faixas "&gt;=", cada rebuild montava um ambiente diferente sem que uma linha de código mudasse — e o modelo é um pickle, que não atravessa versão de biblioteca.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14.5 Testes</w:t>
      </w:r>
    </w:p>
    <w:tbl>
      <w:tblPr>
        <w:tblW w:type="dxa" w:w="9026"/>
        <w:tblBorders>
          <w:top w:val="single" w:color="C8D0DC" w:sz="4"/>
          <w:left w:val="single" w:color="1F3864" w:sz="18"/>
          <w:bottom w:val="single" w:color="C8D0DC" w:sz="4"/>
          <w:right w:val="single" w:color="C8D0DC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7F8F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F"/>
                <w:sz w:val="18"/>
                <w:szCs w:val="18"/>
              </w:rPr>
              <w:t xml:space="preserve">python -m pytest tests/ -q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Os arquivos mais significativos: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4000"/>
        <w:gridCol w:w="1000"/>
        <w:gridCol w:w="4026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Casos</w:t>
            </w:r>
          </w:p>
        </w:tc>
        <w:tc>
          <w:tcPr>
            <w:tcW w:type="dxa" w:w="40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cobre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test_whatsapp + _rotas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52</w:t>
            </w:r>
          </w:p>
        </w:tc>
        <w:tc>
          <w:tcPr>
            <w:tcW w:type="dxa" w:w="40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Assinatura HMAC, vazamento, nono dígito</w:t>
            </w:r>
          </w:p>
        </w:tc>
      </w:tr>
      <w:tr>
        <w:tc>
          <w:tcPr>
            <w:tcW w:type="dxa" w:w="40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test_precos_regionais + ponta a ponta</w:t>
            </w:r>
          </w:p>
        </w:tc>
        <w:tc>
          <w:tcPr>
            <w:tcW w:type="dxa" w:w="10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40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Praça atravessando toda a cadeia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test_pdf_parsers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40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sete agências estaduais</w:t>
            </w:r>
          </w:p>
        </w:tc>
      </w:tr>
      <w:tr>
        <w:tc>
          <w:tcPr>
            <w:tcW w:type="dxa" w:w="40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test_garantia + test_endividamento</w:t>
            </w:r>
          </w:p>
        </w:tc>
        <w:tc>
          <w:tcPr>
            <w:tcW w:type="dxa" w:w="10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40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Deságio, LTV, comprometimento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test_conservacao_seis_ciclos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40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Balanço de animais nas seis modalidades</w:t>
            </w:r>
          </w:p>
        </w:tc>
      </w:tr>
      <w:tr>
        <w:tc>
          <w:tcPr>
            <w:tcW w:type="dxa" w:w="40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test_ficha_recria_real</w:t>
            </w:r>
          </w:p>
        </w:tc>
        <w:tc>
          <w:tcPr>
            <w:tcW w:type="dxa" w:w="10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0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única validação não-sintética</w:t>
            </w:r>
          </w:p>
        </w:tc>
      </w:tr>
      <w:tr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test_extracao_dependencias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0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Binários da cascata de leitura de PDF</w:t>
            </w:r>
          </w:p>
        </w:tc>
      </w:tr>
      <w:tr>
        <w:tc>
          <w:tcPr>
            <w:tcW w:type="dxa" w:w="40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test_regressao_bugs</w:t>
            </w:r>
          </w:p>
        </w:tc>
        <w:tc>
          <w:tcPr>
            <w:tcW w:type="dxa" w:w="10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0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Bugs que não podem voltar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15. Validação com ficha real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Uma ficha de 700 cabeças com composição, destino declarado e projeção de venda foi a primeira validação não-sintética do projeto — e pegou um bug grande.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simulador tratava a faixa de 5 a 25 meses como um pool único e vendia 100% dele todo ano, incluindo os animais de 5 a 12 meses recém-entrados, precificados pelo peso de saída da recria. Tudo fora dessa faixa nunca era vendido.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2600"/>
        <w:gridCol w:w="1600"/>
        <w:gridCol w:w="1600"/>
        <w:gridCol w:w="1600"/>
        <w:gridCol w:w="162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Vendas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Machos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Fêmeas</w:t>
            </w:r>
          </w:p>
        </w:tc>
        <w:tc>
          <w:tcPr>
            <w:tcW w:type="dxa" w:w="16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Desfrute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Antes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443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443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63,3%</w:t>
            </w:r>
          </w:p>
        </w:tc>
      </w:tr>
      <w:tr>
        <w:tc>
          <w:tcPr>
            <w:tcW w:type="dxa" w:w="26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Depois da correção</w:t>
            </w:r>
          </w:p>
        </w:tc>
        <w:tc>
          <w:tcPr>
            <w:tcW w:type="dxa" w:w="16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304</w:t>
            </w:r>
          </w:p>
        </w:tc>
        <w:tc>
          <w:tcPr>
            <w:tcW w:type="dxa" w:w="16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203</w:t>
            </w:r>
          </w:p>
        </w:tc>
        <w:tc>
          <w:tcPr>
            <w:tcW w:type="dxa" w:w="16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101</w:t>
            </w:r>
          </w:p>
        </w:tc>
        <w:tc>
          <w:tcPr>
            <w:tcW w:type="dxa" w:w="16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43,4%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Ficha real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104</w:t>
            </w:r>
          </w:p>
        </w:tc>
        <w:tc>
          <w:tcPr>
            <w:tcW w:type="dxa" w:w="1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45%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 receita estava cerca de 41% superestimada.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A guarda de desfrute acusou "63,3% acima do teto de 55%" sozinha, antes de qualquer investigação — foi o próprio sistema que denunciou o próprio erro.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 mesma ficha levou a mais dois vazamentos: o motor de engorda deixava as fêmeas acima de 36 meses fora dos dois baldes de contabilização, e elas sumiam do modelo; e o motor de cria contava a mortalidade das matrizes, mas não a descontava do fechamento.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16. O que está em aberto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Em ordem de impacto. Este capítulo existe porque um documento que só lista o que funciona não serve para decidir nada.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16.1 Bug conhecido, não corrigido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Carência não capitaliza juros.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A parcela é calculada sobre (prazo − carência) sem crescer o principal pelos juros acumulados durante o período de carência. Num crédito de R$ 1 milhão, 36 meses, 12 de carência, a 12,5% ao ano: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Parcela</w:t>
            </w:r>
          </w:p>
        </w:tc>
      </w:tr>
      <w:tr>
        <w:tc>
          <w:tcPr>
            <w:tcW w:type="dxa" w:w="5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Como o sistema calcula hoje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R$ 46.997</w:t>
            </w:r>
          </w:p>
        </w:tc>
      </w:tr>
      <w:tr>
        <w:tc>
          <w:tcPr>
            <w:tcW w:type="dxa" w:w="54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Cálculo correto</w:t>
            </w:r>
          </w:p>
        </w:tc>
        <w:tc>
          <w:tcPr>
            <w:tcW w:type="dxa" w:w="36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R$ 52.872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none"/>
          <w:left w:val="single" w:color="A32020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3F3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 parcela sai 12,5% subestimada, e o DSCR sobe na mesma proporção — ou seja, o erro corre para o lado de aprovar.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Carência é padrão em custeio pecuário, então o caso não é raro.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16.2 Inconsistências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 análise de sensibilidade usa o DSCR do ano 1, enquanto a conclusão do parecer usa o ano crítico. Na mesma tela, o veredicto principal e os cards de cenário usam bases diferentes.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 motor CICLO_COMPLETO fecha com desvio de balanço de −14 animais em 700 cabeças, no limite da tolerância de 2%. É o único motor ainda não revisado.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 função _build_model() ramifica conforme DATABASE_URL (100 árvores em produção, 300 em desenvolvimento). Hoje é inofensivo porque produção carrega o pickle, mas vira armadilha se o pickle falhar.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16.3 Não validado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 modalidade CRIA_RECRIA segue sem validação (marcada como xfail no teste).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Desfrute acima do teto em CRIA (43% contra 30), CICLO_COMPLETO (41,7% contra 40) e CRIA_RECRIA (49% contra 40) com rebanhos sintéticos construídos para auditoria. Pode ser bug, pode ser rebanho mal construído — só uma ficha real resolve.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 parâmetro FRAC_VENDA_RECRIA_M = 0,83 vem de uma única ficha.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 canal de WhatsApp nunca foi exercitado contra a API real da Meta.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Os diferenciais regionais de preço são calibração, não medição própria.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 ingestão do IBGE nunca rodou contra a API real — daí os 0 parâmetros medidos na proveniência.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16.4 Ausente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Do roteiro clássico dos 5 C's do crédito, dois seguem descobertos: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Caráter — sem consulta a Serasa, SPC, CADIN, protestos ou ações judiciais.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Capital — sem balanço nem patrimônio líquido; o endividamento é declarado, não verificado no SCR.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 para venda a banco, o checklist de procurement tem um buraco: falta SSO/SAML. O restante — log de auditoria, LGPD, escala, rate limiting e segundo fator — está coberto.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16.5 Leitura de documentos em escala nacional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sistema cobre 7 das 27 unidades federativas. Há uma limitação de desenho conhecida: os parsers foram escritos para a saída do pdftotext, que entrega um número por linha, enquanto o OCR entrega a linha inteira de uma vez. Documento escaneado de agência ainda pode ser lido corretamente pelo OCR e mesmo assim resultar em rebanho zerado no parser.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Além disso, o total de animais reportado pelo sistema é a soma do que ele conseguiu ler, e não é confrontado com o total impresso no próprio documento — de modo que uma leitura parcial concorda consigo mesma e passa despercebida. Duas conferências resolveriam a classe inteira do problema, inclusive para agências nunca vistas: comparar a soma com o total impresso, e verificar se vieram todas as posições esperadas.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17. Onde o projeto é único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Comparado às plataformas de crédito agro estabelecidas, que são grão-primeiro e produtor-primeiro: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Lê o rebanho. Sensoriamento remoto e NDVI demarcam área de safra — não contam cabeça, não dizem idade nem sexo. Para pecuária, a garantia é viva e se move.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Sete agências estaduais parseadas. Trabalho sujo, acumulado, sem atalho.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Audita a garantia. Rebanho de papel contra rebanho físico é uma pergunta que a arquitetura dos concorrentes não faz.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É auditável. Memória de cálculo linha por linha, onde um score de mais de 100 fontes é caixa-preta — e a Resolução CMN 4.966 exige que a instituição justifique.</w:t>
      </w:r>
    </w:p>
    <w:p>
      <w:pPr>
        <w:spacing w:after="140"/>
      </w:pP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ativo que ainda falta construir, e que composto vira fosso: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série histórica de GTA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 Hoje lemos a GTA, extraímos o saldo e descartamos o resto. Cada GTA é um registro datado de movimentação; guardadas, dão trajetória documentada em vez de declarada, desfrute medido em vez de estimado, e benchmarks reais no lugar das faixas sintéticas.</w:t>
      </w:r>
    </w:p>
    <w:p>
      <w:r>
        <w:br w:type="page"/>
      </w:r>
    </w:p>
    <w:p>
      <w:pPr>
        <w:pStyle w:val="Heading1"/>
        <w:pBdr>
          <w:bottom w:val="single" w:color="1F3864" w:sz="12" w:space="6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18. Documentos relacionados e licença</w:t>
      </w:r>
    </w:p>
    <w:tbl>
      <w:tblPr>
        <w:tblW w:type="dxa" w:w="9026"/>
        <w:tblBorders>
          <w:top w:val="single" w:color="B4BECC" w:sz="4"/>
          <w:left w:val="single" w:color="B4BECC" w:sz="4"/>
          <w:bottom w:val="single" w:color="B4BECC" w:sz="4"/>
          <w:right w:val="single" w:color="B4BECC" w:sz="4"/>
          <w:insideH w:val="single" w:color="D6DCE5" w:sz="2"/>
          <w:insideV w:val="single" w:color="D6DCE5" w:sz="2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6226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README.md</w:t>
            </w:r>
          </w:p>
        </w:tc>
        <w:tc>
          <w:tcPr>
            <w:tcW w:type="dxa" w:w="6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Esta mesma documentação, em formato de repositório</w:t>
            </w:r>
          </w:p>
        </w:tc>
      </w:tr>
      <w:tr>
        <w:tc>
          <w:tcPr>
            <w:tcW w:type="dxa" w:w="28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CALCULOS.txt</w:t>
            </w:r>
          </w:p>
        </w:tc>
        <w:tc>
          <w:tcPr>
            <w:tcW w:type="dxa" w:w="62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Memorial de cálculo — fórmulas passo a passo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REVERTER.md</w:t>
            </w:r>
          </w:p>
        </w:tc>
        <w:tc>
          <w:tcPr>
            <w:tcW w:type="dxa" w:w="6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Como desligar cada recurso sem mexer no código</w:t>
            </w:r>
          </w:p>
        </w:tc>
      </w:tr>
      <w:tr>
        <w:tc>
          <w:tcPr>
            <w:tcW w:type="dxa" w:w="2800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SISTEMA.txt</w:t>
            </w:r>
          </w:p>
        </w:tc>
        <w:tc>
          <w:tcPr>
            <w:tcW w:type="dxa" w:w="6226"/>
            <w:shd w:fill="EDF1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Desatualizado. Onde divergir do README, o README vale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Licença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© 2026 Lucas Vinicius. Todos os direitos reservados.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Protegido pela Lei 9.610/98 (Direitos Autorais) e pela Lei 9.609/98 (Software). É vedado copiar, modificar, distribuir ou sublicenciar este software sem autorização prévia por escrito.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Licenciamento comercial: viniciuslukas353@gmail.com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BovCredit — Documentação completa   ·  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BovCredit — Documentação completa do sistema</dc:title>
  <dc:creator>BovCredit</dc:creator>
  <dc:description>O que o programa tem e o que ele faz</dc:description>
  <cp:lastModifiedBy>Un-named</cp:lastModifiedBy>
  <cp:revision>1</cp:revision>
  <dcterms:created xsi:type="dcterms:W3CDTF">2026-07-31T19:03:48.168Z</dcterms:created>
  <dcterms:modified xsi:type="dcterms:W3CDTF">2026-07-31T19:03:48.169Z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