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t>Lucca Bonanno de Almeida Cazarine – RA 10748044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t>João Pedro Zanavela Andreu – RA 10410137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  <w:t>Pedro Ganassali Marin - RA  10402812</w:t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  <w:t>Relatório atividade Projeto 1 – TG – Rotas comerciais entre países</w:t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Definição do problema e modelagem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1.1 Contexto e motivação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Cada país mantém relações de exportação com múltiplos parceiros; compreender essa rede permite </w:t>
      </w:r>
      <w:r>
        <w:rPr>
          <w:rStyle w:val="Nfaseforte"/>
          <w:b w:val="false"/>
          <w:bCs w:val="false"/>
          <w:sz w:val="28"/>
          <w:szCs w:val="28"/>
        </w:rPr>
        <w:t xml:space="preserve">identificar </w:t>
      </w:r>
      <w:r>
        <w:rPr>
          <w:b w:val="false"/>
          <w:bCs w:val="false"/>
          <w:sz w:val="28"/>
          <w:szCs w:val="28"/>
        </w:rPr>
        <w:t xml:space="preserve">países com alta centralidade que irradiam ou concentram fluxos (hubs), </w:t>
      </w:r>
      <w:r>
        <w:rPr>
          <w:rStyle w:val="Nfaseforte"/>
          <w:b w:val="false"/>
          <w:bCs w:val="false"/>
          <w:sz w:val="28"/>
          <w:szCs w:val="28"/>
        </w:rPr>
        <w:t>blocos econômicos coesos</w:t>
      </w:r>
      <w:r>
        <w:rPr>
          <w:b w:val="false"/>
          <w:bCs w:val="false"/>
          <w:sz w:val="28"/>
          <w:szCs w:val="28"/>
        </w:rPr>
        <w:t xml:space="preserve"> (componentes fortemente conectadas), </w:t>
      </w:r>
      <w:r>
        <w:rPr>
          <w:rStyle w:val="Nfaseforte"/>
          <w:b w:val="false"/>
          <w:bCs w:val="false"/>
          <w:sz w:val="28"/>
          <w:szCs w:val="28"/>
        </w:rPr>
        <w:t>gargalos</w:t>
      </w:r>
      <w:r>
        <w:rPr>
          <w:b w:val="false"/>
          <w:bCs w:val="false"/>
          <w:sz w:val="28"/>
          <w:szCs w:val="28"/>
        </w:rPr>
        <w:t xml:space="preserve"> (nós ou arestas cuja falha desorganiza rotas relevantes) e </w:t>
      </w:r>
      <w:r>
        <w:rPr>
          <w:rStyle w:val="Nfaseforte"/>
          <w:b w:val="false"/>
          <w:bCs w:val="false"/>
          <w:sz w:val="28"/>
          <w:szCs w:val="28"/>
        </w:rPr>
        <w:t>rotas alternativas</w:t>
      </w:r>
      <w:r>
        <w:rPr>
          <w:b w:val="false"/>
          <w:bCs w:val="false"/>
          <w:sz w:val="28"/>
          <w:szCs w:val="28"/>
        </w:rPr>
        <w:t xml:space="preserve"> que aumentam a </w:t>
      </w:r>
      <w:r>
        <w:rPr>
          <w:rStyle w:val="Nfaseforte"/>
          <w:b w:val="false"/>
          <w:bCs w:val="false"/>
          <w:sz w:val="28"/>
          <w:szCs w:val="28"/>
        </w:rPr>
        <w:t>resiliência</w:t>
      </w:r>
      <w:r>
        <w:rPr>
          <w:b w:val="false"/>
          <w:bCs w:val="false"/>
          <w:sz w:val="28"/>
          <w:szCs w:val="28"/>
        </w:rPr>
        <w:t xml:space="preserve"> do comércio. Essa leitura também revela </w:t>
      </w:r>
      <w:r>
        <w:rPr>
          <w:rStyle w:val="Nfaseforte"/>
          <w:b w:val="false"/>
          <w:bCs w:val="false"/>
          <w:sz w:val="28"/>
          <w:szCs w:val="28"/>
        </w:rPr>
        <w:t>dependências assimétricas</w:t>
      </w:r>
      <w:r>
        <w:rPr>
          <w:b w:val="false"/>
          <w:bCs w:val="false"/>
          <w:sz w:val="28"/>
          <w:szCs w:val="28"/>
        </w:rPr>
        <w:t xml:space="preserve">, potenciais </w:t>
      </w:r>
      <w:r>
        <w:rPr>
          <w:rStyle w:val="Nfaseforte"/>
          <w:b w:val="false"/>
          <w:bCs w:val="false"/>
          <w:sz w:val="28"/>
          <w:szCs w:val="28"/>
        </w:rPr>
        <w:t>riscos de interrupção de cadeias de suprimento</w:t>
      </w:r>
      <w:r>
        <w:rPr>
          <w:b w:val="false"/>
          <w:bCs w:val="false"/>
          <w:sz w:val="28"/>
          <w:szCs w:val="28"/>
        </w:rPr>
        <w:t xml:space="preserve">, oportunidades de </w:t>
      </w:r>
      <w:r>
        <w:rPr>
          <w:rStyle w:val="Nfaseforte"/>
          <w:b w:val="false"/>
          <w:bCs w:val="false"/>
          <w:sz w:val="28"/>
          <w:szCs w:val="28"/>
        </w:rPr>
        <w:t>diversificação de mercados</w:t>
      </w:r>
      <w:r>
        <w:rPr>
          <w:b w:val="false"/>
          <w:bCs w:val="false"/>
          <w:sz w:val="28"/>
          <w:szCs w:val="28"/>
        </w:rPr>
        <w:t xml:space="preserve"> e apoia decisões de </w:t>
      </w:r>
      <w:r>
        <w:rPr>
          <w:rStyle w:val="Nfaseforte"/>
          <w:b w:val="false"/>
          <w:bCs w:val="false"/>
          <w:sz w:val="28"/>
          <w:szCs w:val="28"/>
        </w:rPr>
        <w:t>política comercial</w:t>
      </w:r>
      <w:r>
        <w:rPr>
          <w:b w:val="false"/>
          <w:bCs w:val="false"/>
          <w:sz w:val="28"/>
          <w:szCs w:val="28"/>
        </w:rPr>
        <w:t xml:space="preserve"> (acordos, tarifas, infraestrutura logística) orientadas por evidências.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1.2 Descrição textual do problema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• </w:t>
      </w:r>
      <w:r>
        <w:rPr>
          <w:b w:val="false"/>
          <w:bCs w:val="false"/>
          <w:sz w:val="28"/>
          <w:szCs w:val="28"/>
        </w:rPr>
        <w:t>Vértices: Países.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• </w:t>
      </w:r>
      <w:r>
        <w:rPr>
          <w:b w:val="false"/>
          <w:bCs w:val="false"/>
          <w:sz w:val="28"/>
          <w:szCs w:val="28"/>
        </w:rPr>
        <w:t>Arestas direcionadas u →</w:t>
      </w:r>
      <w:r>
        <w:rPr>
          <w:b w:val="false"/>
          <w:bCs w:val="false"/>
          <w:sz w:val="28"/>
          <w:szCs w:val="28"/>
        </w:rPr>
        <w:t>v indica exportação de u para v.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• </w:t>
      </w:r>
      <w:r>
        <w:rPr>
          <w:b w:val="false"/>
          <w:bCs w:val="false"/>
          <w:sz w:val="28"/>
          <w:szCs w:val="28"/>
        </w:rPr>
        <w:t>Peso da aresta: intensidade do fluxo.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• </w:t>
      </w:r>
      <w:r>
        <w:rPr>
          <w:b w:val="false"/>
          <w:bCs w:val="false"/>
          <w:sz w:val="28"/>
          <w:szCs w:val="28"/>
        </w:rPr>
        <w:t>Direcionalidade distingue exportar de importar.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1.3 Modelagem formal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Tipo: direcionado com pesos nas arestas.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G = (V, E): V são países; E contém arestas (u,v) se há exportação de u para v; peso w(u,v) ≥ 0.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Consultas: SCC (Kosaraju) + C3/C2/C1/C0; DAG reduzido; graus/força; DFS/BFS; Prim/Dijkstra.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 Modelagem no GraphOnline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Passos: Directed graph → adicionar vértices e rótulos → arestas e pesos → auto layout → exportar imagem.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>
      <w:pPr>
        <w:pStyle w:val="Normal"/>
        <w:bidi w:val="0"/>
        <w:jc w:val="righ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1.5 Observações e limitações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Para grandes redes, gerar versão enxuta (hubs + fiktro de peso).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Exemplo: grafo de relacionamento entre os principais países.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895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Objetivos de desenvolvimento sustentavel (ODS) contemplados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 ODS 9 – Indústria, inovação e infraestrutura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 grafo de rotas comerciais entre países descreve uma rede de infraestrutura econômica. A análise de conectividade, SCC e “hubs” permite: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Identificar gargalos de infraestrutura (arestas/nós críticos cuja falha desorganiza o fluxo).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Planejar redundância (rotas alternativas) e priorizar investimentos em corredores logísticos.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Monitorar desempenho de integração regional (tamanho/número de SCCs; C3/C2/C1/C0).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Avaliar resiliência por simulações de falhas (remoção de arestas/nós) e impacto no alcance.</w:t>
      </w:r>
    </w:p>
    <w:p>
      <w:pPr>
        <w:pStyle w:val="ListBullet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/>
          <w:sz w:val="28"/>
          <w:szCs w:val="28"/>
        </w:rPr>
        <w:t>Alvos mais aderentes: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9.1 – Desenvolver infraestrutura de qualidade, confiável e resiliente: usamos métricas de conectividade (C3/C2/C1/C0), diâmetro médio, redundância de caminhos e análise de gargalos.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9.4 – Modernizar infraestrutura para maior eficiência: o grafo reduzido evidencia onde intervenções geram maior ganho sistêmico.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9.a – Apoiar infraestrutura em países em desenvolvimento: a rede mostra dependências assimétricas e baixa centralidade de determinados países, orientando cooperação e financiamento.</w:t>
      </w:r>
    </w:p>
    <w:p>
      <w:pPr>
        <w:pStyle w:val="ListBullet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ListBullet"/>
        <w:numPr>
          <w:ilvl w:val="0"/>
          <w:numId w:val="0"/>
        </w:numPr>
        <w:bidi w:val="0"/>
        <w:jc w:val="left"/>
        <w:rPr/>
      </w:pPr>
      <w:r>
        <w:rPr>
          <w:b/>
          <w:bCs/>
          <w:sz w:val="32"/>
          <w:szCs w:val="32"/>
        </w:rPr>
        <w:t>2.2 ODS 17 – Parcerias para implementação</w:t>
      </w:r>
    </w:p>
    <w:p>
      <w:pPr>
        <w:pStyle w:val="ListBullet"/>
        <w:numPr>
          <w:ilvl w:val="0"/>
          <w:numId w:val="0"/>
        </w:numPr>
        <w:bidi w:val="0"/>
        <w:jc w:val="left"/>
        <w:rPr/>
      </w:pPr>
      <w:r>
        <w:rPr>
          <w:b w:val="false"/>
          <w:bCs w:val="false"/>
          <w:sz w:val="28"/>
          <w:szCs w:val="28"/>
        </w:rPr>
        <w:t>rede de comércio é, por natureza, uma rede de parcerias internacionais. O modelo torna visíveis: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Blocos/coalisões e relações assimétricas (C2/C1), úteis para diplomacia econômica.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Oportunidades de diversificação de mercados (novas arestas que encurtam caminhos entre blocos).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Evidências para acordos, facilitação de comércio e cooperação técnica.</w:t>
      </w:r>
    </w:p>
    <w:p>
      <w:pPr>
        <w:pStyle w:val="ListBullet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b/>
          <w:sz w:val="28"/>
          <w:szCs w:val="28"/>
        </w:rPr>
        <w:t>Alvos  mais aderentes: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17.10 – Sistema de comércio multilateral aberto e não discriminatório: leitura de acesso e barreiras implícitas via conectividade e pesos.</w:t>
      </w:r>
    </w:p>
    <w:p>
      <w:pPr>
        <w:pStyle w:val="ListBullet"/>
        <w:numPr>
          <w:ilvl w:val="0"/>
          <w:numId w:val="1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17.11 – Aumentar exportações dos países em desenvolvimento: identificar “vizinhos de vizinhos” promissores (alvos de promoção).</w:t>
      </w:r>
    </w:p>
    <w:p>
      <w:pPr>
        <w:pStyle w:val="ListBullet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17.13 / 17.14 – Coerência de políticas e estabilidade macro: monitorar concentração de risco (dependência de poucos parceiros) e sugerir diversificação.</w:t>
      </w:r>
    </w:p>
    <w:p>
      <w:pPr>
        <w:pStyle w:val="ListBullet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ListBullet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2.3 Justificativa metodológica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O uso de SCC + grafo reduzido (DAG) fornece a visão macro de blocos; a classificação C3/C2/C1/C0 distingue integração plena, unilateralidade e conexão fraca. Métricas de centralidade (grau/força ponderada) apontam pontos de alavancagem para políticas e investimentos. 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Testes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 Menu com opções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73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3.2 Ler dados do arquivo grafo.txt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Após inicializar o menu, a opção 1 tem o objetivo de ler o arquivo txt desejado para prosseguir com as demais funcionalidades.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-57150</wp:posOffset>
            </wp:positionH>
            <wp:positionV relativeFrom="paragraph">
              <wp:posOffset>213995</wp:posOffset>
            </wp:positionV>
            <wp:extent cx="4836795" cy="364934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     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3.3 Gravar dados do arquivo grafo.txt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 opção 2 do menu trata-se da gravação dos dados presentes no arquivo txt desejado: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614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3.4 Inserir vértice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5667375" cy="183832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3.5 Inserir aresta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234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 Remover vértice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5695950" cy="190500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3.7 Remover aresta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31115</wp:posOffset>
            </wp:positionH>
            <wp:positionV relativeFrom="paragraph">
              <wp:posOffset>147955</wp:posOffset>
            </wp:positionV>
            <wp:extent cx="5353050" cy="197167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3.8 Mostrar grafo reduzido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21590</wp:posOffset>
            </wp:positionH>
            <wp:positionV relativeFrom="paragraph">
              <wp:posOffset>114300</wp:posOffset>
            </wp:positionV>
            <wp:extent cx="5334000" cy="1838325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ds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3.9 Mostrar grafo em lista ou matriz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3.9.1 Lista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133350</wp:posOffset>
            </wp:positionV>
            <wp:extent cx="5829300" cy="139065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3.9.2 Matriz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7620</wp:posOffset>
            </wp:positionH>
            <wp:positionV relativeFrom="paragraph">
              <wp:posOffset>176530</wp:posOffset>
            </wp:positionV>
            <wp:extent cx="5686425" cy="171450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3.10 Apresentar conectividade do grafo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Grafo utilizado para teste de conectividade: 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513080</wp:posOffset>
            </wp:positionH>
            <wp:positionV relativeFrom="paragraph">
              <wp:posOffset>81280</wp:posOffset>
            </wp:positionV>
            <wp:extent cx="4465320" cy="3683000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381000</wp:posOffset>
            </wp:positionH>
            <wp:positionV relativeFrom="paragraph">
              <wp:posOffset>4442460</wp:posOffset>
            </wp:positionV>
            <wp:extent cx="4074795" cy="287083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3.11 Verificar se o grafo é h-conexo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562600" cy="342900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3.12 Exibir a árvore geradora mínima (Algoritmo de Prim)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12065</wp:posOffset>
            </wp:positionH>
            <wp:positionV relativeFrom="paragraph">
              <wp:posOffset>57150</wp:posOffset>
            </wp:positionV>
            <wp:extent cx="5638800" cy="91440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3.13 Analisar grau dos vértices do grafo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-11430</wp:posOffset>
            </wp:positionH>
            <wp:positionV relativeFrom="paragraph">
              <wp:posOffset>635</wp:posOffset>
            </wp:positionV>
            <wp:extent cx="5495925" cy="73342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3.14 Verificar se o grafo possui caminho Euleriano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21590</wp:posOffset>
            </wp:positionH>
            <wp:positionV relativeFrom="paragraph">
              <wp:posOffset>186055</wp:posOffset>
            </wp:positionV>
            <wp:extent cx="5314950" cy="38100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3.15 Imagem visual do grafo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A opção 15 do menu permite a geração de um arquivo PNG para a melhor visualização do grafo desejado: 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3200" cy="331025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3.16 Visualizar conteúdo do arquivo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45720</wp:posOffset>
            </wp:positionH>
            <wp:positionV relativeFrom="paragraph">
              <wp:posOffset>161925</wp:posOffset>
            </wp:positionV>
            <wp:extent cx="5857875" cy="3371850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Link do projeto no Github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https://github.com/LuccaCazarineDataShelf/Projeto1-TG-Relacao-comercial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Referências</w:t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https://brasil.un.org/pt-br/sdgs</w:t>
      </w:r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22">
        <w:r>
          <w:rPr>
            <w:rStyle w:val="LinkdaInternet"/>
            <w:b w:val="false"/>
            <w:bCs w:val="false"/>
            <w:sz w:val="28"/>
            <w:szCs w:val="28"/>
          </w:rPr>
          <w:t>https://brasil.un.org/pt-br/sdgs/17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24">
        <w:r>
          <w:rPr>
            <w:rStyle w:val="LinkdaInternet"/>
            <w:b w:val="false"/>
            <w:bCs w:val="false"/>
            <w:sz w:val="28"/>
            <w:szCs w:val="28"/>
          </w:rPr>
          <w:t>https://brasil.un.org/pt-br/sdgs/9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26">
        <w:r>
          <w:rPr>
            <w:rStyle w:val="LinkdaInternet"/>
            <w:b w:val="false"/>
            <w:bCs w:val="false"/>
            <w:sz w:val="28"/>
            <w:szCs w:val="28"/>
          </w:rPr>
          <w:t>https://www.un.org/sustainabledevelopment/infrastructure-industrialization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28">
        <w:r>
          <w:rPr>
            <w:rStyle w:val="LinkdaInternet"/>
            <w:b w:val="false"/>
            <w:bCs w:val="false"/>
            <w:sz w:val="28"/>
            <w:szCs w:val="28"/>
          </w:rPr>
          <w:t>https://cp-algorithms.com/graph/strongly-connected-components.html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30">
        <w:r>
          <w:rPr>
            <w:rStyle w:val="LinkdaInternet"/>
            <w:b w:val="false"/>
            <w:bCs w:val="false"/>
            <w:sz w:val="28"/>
            <w:szCs w:val="28"/>
          </w:rPr>
          <w:t>https://en.wikipedia.org/wiki/Sustainable_Development_Goals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/>
      </w:pPr>
      <w:hyperlink r:id="rId32">
        <w:r>
          <w:rPr>
            <w:rStyle w:val="LinkdaInternet"/>
            <w:b w:val="false"/>
            <w:bCs w:val="false"/>
            <w:sz w:val="28"/>
            <w:szCs w:val="28"/>
          </w:rPr>
          <w:t>https://networkx.org/documentation/stable/reference/generated/networkx.drawing.nx_pylab.draw_networkx.html</w:t>
        </w:r>
      </w:hyperlink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https://matplotlib.org/stable/tutorials/pyplot.html</w:t>
      </w:r>
    </w:p>
    <w:p>
      <w:pPr>
        <w:pStyle w:val="Normal"/>
        <w:numPr>
          <w:ilvl w:val="0"/>
          <w:numId w:val="0"/>
        </w:numPr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character" w:styleId="Nfaseforte">
    <w:name w:val="Ênfase forte"/>
    <w:qFormat/>
    <w:rPr>
      <w:b/>
      <w:bCs/>
    </w:rPr>
  </w:style>
  <w:style w:type="character" w:styleId="LinkdaInternet">
    <w:name w:val="Link da Internet"/>
    <w:rPr>
      <w:color w:val="000080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Bullet">
    <w:name w:val="List Bullet"/>
    <w:basedOn w:val="Normal"/>
    <w:qFormat/>
    <w:pPr>
      <w:numPr>
        <w:ilvl w:val="0"/>
        <w:numId w:val="1"/>
      </w:numPr>
      <w:spacing w:before="0" w:after="20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2.png"/><Relationship Id="rId20" Type="http://schemas.openxmlformats.org/officeDocument/2006/relationships/image" Target="media/image18.png"/><Relationship Id="rId21" Type="http://schemas.openxmlformats.org/officeDocument/2006/relationships/hyperlink" Target="https://brasil.un.org/pt-br/sdgs/17" TargetMode="External"/><Relationship Id="rId22" Type="http://schemas.openxmlformats.org/officeDocument/2006/relationships/hyperlink" Target="" TargetMode="External"/><Relationship Id="rId23" Type="http://schemas.openxmlformats.org/officeDocument/2006/relationships/hyperlink" Target="https://brasil.un.org/pt-br/sdgs/9" TargetMode="External"/><Relationship Id="rId24" Type="http://schemas.openxmlformats.org/officeDocument/2006/relationships/hyperlink" Target="" TargetMode="External"/><Relationship Id="rId25" Type="http://schemas.openxmlformats.org/officeDocument/2006/relationships/hyperlink" Target="https://www.un.org/sustainabledevelopment/infrastructure-industrialization" TargetMode="External"/><Relationship Id="rId26" Type="http://schemas.openxmlformats.org/officeDocument/2006/relationships/hyperlink" Target="" TargetMode="External"/><Relationship Id="rId27" Type="http://schemas.openxmlformats.org/officeDocument/2006/relationships/hyperlink" Target="https://cp-algorithms.com/graph/strongly-connected-components.html" TargetMode="External"/><Relationship Id="rId28" Type="http://schemas.openxmlformats.org/officeDocument/2006/relationships/hyperlink" Target="" TargetMode="External"/><Relationship Id="rId29" Type="http://schemas.openxmlformats.org/officeDocument/2006/relationships/hyperlink" Target="https://en.wikipedia.org/wiki/Sustainable_Development_Goals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s://networkx.org/documentation/stable/reference/generated/networkx.drawing.nx_pylab.draw_networkx.html" TargetMode="External"/><Relationship Id="rId32" Type="http://schemas.openxmlformats.org/officeDocument/2006/relationships/hyperlink" Target="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10</Pages>
  <Words>709</Words>
  <Characters>4694</Characters>
  <CharactersWithSpaces>5338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2025-09-28T16:31:36Z</dcterms:created>
  <dc:creator/>
  <dc:description/>
  <dc:language>pt-BR</dc:language>
  <cp:lastModifiedBy/>
  <dcterms:modified xsi:type="dcterms:W3CDTF">2025-09-28T19:02:09Z</dcterms:modified>
  <cp:revision>2</cp:revision>
  <dc:subject/>
  <dc:title/>
</cp:coreProperties>
</file>