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 w:after="120"/>
        <w:jc w:val="left"/>
      </w:pPr>
      <w:r>
        <w:rPr>
          <w:rFonts w:ascii="Arial" w:hAnsi="Arial"/>
          <w:b/>
          <w:color w:val="1F4E79"/>
          <w:sz w:val="18"/>
        </w:rPr>
        <w:t>SEASIC · ACOMPANHAMENTO DE GABINETE</w:t>
      </w:r>
    </w:p>
    <w:p>
      <w:pPr>
        <w:pStyle w:val="Title"/>
        <w:spacing w:before="760" w:after="200"/>
      </w:pPr>
      <w:r>
        <w:rPr>
          <w:rFonts w:ascii="Arial" w:hAnsi="Arial"/>
          <w:b/>
          <w:color w:val="1F4E79"/>
          <w:sz w:val="48"/>
        </w:rPr>
        <w:t>Arquitetura do Projeto</w:t>
        <w:br/>
        <w:t>Monitoramento Processual Automatizado</w:t>
      </w:r>
    </w:p>
    <w:p>
      <w:pPr>
        <w:spacing w:line="259" w:lineRule="auto" w:after="120"/>
      </w:pPr>
      <w:r>
        <w:rPr>
          <w:rFonts w:ascii="Arial" w:hAnsi="Arial"/>
          <w:color w:val="5A5A5A"/>
          <w:sz w:val="26"/>
        </w:rPr>
        <w:t>Automação de leitura, histórico e atualização de processos SEI/e-DOC</w:t>
      </w:r>
    </w:p>
    <w:p>
      <w:pPr>
        <w:spacing w:before="400" w:line="259" w:lineRule="auto" w:after="120"/>
      </w:pPr>
      <w:r>
        <w:rPr>
          <w:rFonts w:ascii="Arial" w:hAnsi="Arial"/>
          <w:b/>
          <w:color w:val="1F4E79"/>
          <w:sz w:val="21"/>
        </w:rPr>
        <w:t>Versão 2 · revisada para desenvolvimento interno com Claude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1F4E79"/>
                <w:sz w:val="21"/>
              </w:rPr>
              <w:t xml:space="preserve">Objetivo central: </w:t>
            </w:r>
            <w:r>
              <w:rPr>
                <w:rFonts w:ascii="Arial" w:hAnsi="Arial"/>
                <w:sz w:val="21"/>
              </w:rPr>
              <w:t>substituir a conferência manual diária dos processos por um monitoramento automatizado, mantendo histórico confiável e entregando ao Gabinete apenas as mudanças, gargalos e exceções que exigem atenção.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1F4E79"/>
                <w:sz w:val="21"/>
              </w:rPr>
              <w:t xml:space="preserve">O que mudou nesta versão: </w:t>
            </w:r>
            <w:r>
              <w:rPr>
                <w:rFonts w:ascii="Arial" w:hAnsi="Arial"/>
                <w:sz w:val="21"/>
              </w:rPr>
              <w:t>o modelo de dados foi separado em três tabelas; a identificação do processo passou a usar a chave sistema + número; consultas que falham passaram a ser registradas; foram acrescentados ritmo de consulta, proteção de dados, continuidade operacional, riscos e carimbo de execução; e as fases foram reordenadas para que a persistência venha junto com o lote e o resumo executivo preceda a atualização das planilhas.</w:t>
            </w:r>
          </w:p>
        </w:tc>
      </w:tr>
    </w:tbl>
    <w:p>
      <w:pPr>
        <w:spacing w:after="120"/>
      </w:pPr>
    </w:p>
    <w:p>
      <w:pPr>
        <w:pStyle w:val="Heading1"/>
      </w:pPr>
      <w:r>
        <w:t>1. Contexto e objetivo</w:t>
      </w:r>
    </w:p>
    <w:p>
      <w:pPr>
        <w:spacing w:line="259" w:lineRule="auto" w:after="120"/>
      </w:pPr>
      <w:r>
        <w:rPr>
          <w:rFonts w:ascii="Arial" w:hAnsi="Arial"/>
          <w:b/>
          <w:sz w:val="21"/>
        </w:rPr>
        <w:t xml:space="preserve">Problema atual. </w:t>
      </w:r>
      <w:r>
        <w:rPr>
          <w:rFonts w:ascii="Arial" w:hAnsi="Arial"/>
          <w:sz w:val="21"/>
        </w:rPr>
        <w:t>As planilhas de acompanhamento foram estruturadas para registrar, dia após dia, onde cada processo está. O modelo é útil para a Secretária, mas sua atualização manual é inviável quando aplicado a dezenas ou centenas de processos distribuídos entre SEI e e-DOC.</w:t>
      </w:r>
    </w:p>
    <w:p>
      <w:pPr>
        <w:spacing w:line="259" w:lineRule="auto" w:after="120"/>
      </w:pPr>
      <w:r>
        <w:rPr>
          <w:rFonts w:ascii="Arial" w:hAnsi="Arial"/>
          <w:b/>
          <w:sz w:val="21"/>
        </w:rPr>
        <w:t xml:space="preserve">Objetivo do projeto. </w:t>
      </w:r>
      <w:r>
        <w:rPr>
          <w:rFonts w:ascii="Arial" w:hAnsi="Arial"/>
          <w:sz w:val="21"/>
        </w:rPr>
        <w:t>Criar um sistema interno de consulta e monitoramento que pesquise automaticamente os processos, identifique as unidades em que estão abertos, o último trâmite e a data da movimentação, compare com o histórico anterior e atualize as bases de acompanhamento do Gabinete.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1F4E79"/>
                <w:sz w:val="21"/>
              </w:rPr>
              <w:t xml:space="preserve">Princípio de gestão: </w:t>
            </w:r>
            <w:r>
              <w:rPr>
                <w:rFonts w:ascii="Arial" w:hAnsi="Arial"/>
                <w:sz w:val="21"/>
              </w:rPr>
              <w:t>o sistema deve olhar todos os processos; a equipe do Gabinete deve olhar apenas os processos que mudaram, pararam ou apresentaram erro.</w:t>
            </w:r>
          </w:p>
        </w:tc>
      </w:tr>
    </w:tbl>
    <w:p>
      <w:pPr>
        <w:spacing w:after="120"/>
      </w:pPr>
    </w:p>
    <w:p>
      <w:pPr>
        <w:pStyle w:val="Heading1"/>
      </w:pPr>
      <w:r>
        <w:t>2. Escopo do projeto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Monitorar processos cadastrados como ativos no SEI e no e-DOC.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Capturar dados objetivos: número do processo, sistema, unidades em que está aberto, data do último trâmite, descrição do último andamento e horário da consulta.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Criar histórico diário e comparar a fotografia atual com a anterior.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Sinalizar mudança de unidade, novo andamento, tempo sem movimentação e falha de consulta.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Registrar e expor o status da própria execução: quando rodou, quantos processos foram consultados com êxito e quantos falharam.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Atualizar automaticamente as planilhas de acompanhamento simplificado das áreas da SEASIC.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Gerar resumo executivo diário para o Gabinete.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Manter a primeira versão somente para leitura e monitoramento; não movimentar, assinar ou alterar processos nos sistemas oficiais.</w:t>
      </w:r>
    </w:p>
    <w:p>
      <w:pPr>
        <w:pStyle w:val="Heading2"/>
      </w:pPr>
      <w:r>
        <w:t>2.1. Fora do escopo inicial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Assinatura de documentos, tramitação, despacho ou movimentação automática de processos.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Contorno de CAPTCHA, MFA, bloqueios de segurança ou controles de acesso.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Substituição do SEI/e-DOC como fonte oficial da informação.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Automação de processos não cadastrados no monitoramento mestre.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Captura do conteúdo integral de documentos dos processos.</w:t>
      </w:r>
    </w:p>
    <w:p>
      <w:pPr>
        <w:pStyle w:val="Heading1"/>
      </w:pPr>
      <w:r>
        <w:t>3. Arquitetura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5"/>
        <w:gridCol w:w="1995"/>
      </w:tblGrid>
      <w:tr>
        <w:trPr>
          <w:tblHeader w:val="true"/>
        </w:trPr>
        <w:tc>
          <w:tcPr>
            <w:tcW w:type="dxa" w:w="199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1. Cadastro Mestre</w:t>
            </w:r>
          </w:p>
        </w:tc>
        <w:tc>
          <w:tcPr>
            <w:tcW w:type="dxa" w:w="199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2. Coletores</w:t>
            </w:r>
          </w:p>
        </w:tc>
        <w:tc>
          <w:tcPr>
            <w:tcW w:type="dxa" w:w="1994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3. Histórico</w:t>
            </w:r>
          </w:p>
        </w:tc>
        <w:tc>
          <w:tcPr>
            <w:tcW w:type="dxa" w:w="1995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4. Comparador</w:t>
            </w:r>
          </w:p>
        </w:tc>
        <w:tc>
          <w:tcPr>
            <w:tcW w:type="dxa" w:w="1995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5. Saídas</w:t>
            </w:r>
          </w:p>
        </w:tc>
      </w:tr>
      <w:tr>
        <w:tc>
          <w:tcPr>
            <w:tcW w:type="dxa" w:w="19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Lista única de processos, programa, área, sistema e status de monitoramento.</w:t>
            </w:r>
          </w:p>
        </w:tc>
        <w:tc>
          <w:tcPr>
            <w:tcW w:type="dxa" w:w="19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Robô SEI e robô e-DOC consultam a interface ou serviço disponível, em ritmo controlado.</w:t>
            </w:r>
          </w:p>
        </w:tc>
        <w:tc>
          <w:tcPr>
            <w:tcW w:type="dxa" w:w="19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SQLite com três tabelas: cadastro, fotografias e ocorrências.</w:t>
            </w:r>
          </w:p>
        </w:tc>
        <w:tc>
          <w:tcPr>
            <w:tcW w:type="dxa" w:w="19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Compara a fotografia atual com a última válida e classifica a ocorrência.</w:t>
            </w:r>
          </w:p>
        </w:tc>
        <w:tc>
          <w:tcPr>
            <w:tcW w:type="dxa" w:w="19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Planilhas, resumo executivo, relatório de exceções e carimbo de execução.</w:t>
            </w:r>
          </w:p>
        </w:tc>
      </w:tr>
    </w:tbl>
    <w:p>
      <w:pPr>
        <w:spacing w:after="120"/>
      </w:pPr>
    </w:p>
    <w:p>
      <w:pPr>
        <w:spacing w:line="259" w:lineRule="auto" w:after="120"/>
      </w:pPr>
      <w:r>
        <w:rPr>
          <w:rFonts w:ascii="Arial" w:hAnsi="Arial"/>
          <w:b/>
          <w:color w:val="1F4E79"/>
          <w:sz w:val="21"/>
        </w:rPr>
        <w:t>Cadastro Mestre  →  Consulta SEI/e-DOC  →  Persistência  →  Comparação  →  Planilhas / Resumo executivo</w:t>
      </w:r>
    </w:p>
    <w:p>
      <w:pPr>
        <w:pStyle w:val="Heading1"/>
      </w:pPr>
      <w:r>
        <w:t>4. Componentes do sistema</w:t>
      </w:r>
    </w:p>
    <w:p>
      <w:pPr>
        <w:pStyle w:val="Heading2"/>
      </w:pPr>
      <w:r>
        <w:t>4.1 Cadastro Mestre de Processos</w:t>
      </w:r>
    </w:p>
    <w:p>
      <w:pPr>
        <w:spacing w:line="259" w:lineRule="auto" w:after="120"/>
      </w:pPr>
      <w:r>
        <w:rPr>
          <w:rFonts w:ascii="Arial" w:hAnsi="Arial"/>
          <w:sz w:val="21"/>
        </w:rPr>
        <w:t>Fonte única da lista de processos a monitorar. Evita que cada planilha tenha uma base independente e reduz duplicidade. A chave de cada registro é o par sistema + número.</w:t>
      </w:r>
    </w:p>
    <w:p>
      <w:pPr>
        <w:pStyle w:val="Heading2"/>
      </w:pPr>
      <w:r>
        <w:t>4.2 Coletor SEI</w:t>
      </w:r>
    </w:p>
    <w:p>
      <w:pPr>
        <w:spacing w:line="259" w:lineRule="auto" w:after="120"/>
      </w:pPr>
      <w:r>
        <w:rPr>
          <w:rFonts w:ascii="Arial" w:hAnsi="Arial"/>
          <w:sz w:val="21"/>
        </w:rPr>
        <w:t>Automação de consulta no SEI. Recebe o número do processo, acessa o sistema em sessão autenticada, localiza o processo e extrai os campos necessários. Os seletores ficam em arquivo de configuração, não no código do coletor.</w:t>
      </w:r>
    </w:p>
    <w:p>
      <w:pPr>
        <w:pStyle w:val="Heading2"/>
      </w:pPr>
      <w:r>
        <w:t>4.3 Coletor e-DOC</w:t>
      </w:r>
    </w:p>
    <w:p>
      <w:pPr>
        <w:spacing w:line="259" w:lineRule="auto" w:after="120"/>
      </w:pPr>
      <w:r>
        <w:rPr>
          <w:rFonts w:ascii="Arial" w:hAnsi="Arial"/>
          <w:sz w:val="21"/>
        </w:rPr>
        <w:t>Automação equivalente para processos legados no e-DOC. Isolada do coletor SEI para permitir manutenção independente quando o layout de um sistema mudar.</w:t>
      </w:r>
    </w:p>
    <w:p>
      <w:pPr>
        <w:pStyle w:val="Heading2"/>
      </w:pPr>
      <w:r>
        <w:t>4.4 Repositório / Banco de Dados</w:t>
      </w:r>
    </w:p>
    <w:p>
      <w:pPr>
        <w:spacing w:line="259" w:lineRule="auto" w:after="120"/>
      </w:pPr>
      <w:r>
        <w:rPr>
          <w:rFonts w:ascii="Arial" w:hAnsi="Arial"/>
          <w:sz w:val="21"/>
        </w:rPr>
        <w:t>SQLite na primeira versão, com três tabelas distintas: cadastro mestre, fotografias de consulta e ocorrências detectadas. Separar as três evita que a edição manual do cadastro sobrescreva histórico.</w:t>
      </w:r>
    </w:p>
    <w:p>
      <w:pPr>
        <w:pStyle w:val="Heading2"/>
      </w:pPr>
      <w:r>
        <w:t>4.5 Serviço de Comparação</w:t>
      </w:r>
    </w:p>
    <w:p>
      <w:pPr>
        <w:spacing w:line="259" w:lineRule="auto" w:after="120"/>
      </w:pPr>
      <w:r>
        <w:rPr>
          <w:rFonts w:ascii="Arial" w:hAnsi="Arial"/>
          <w:sz w:val="21"/>
        </w:rPr>
        <w:t>Compara a fotografia atual com a última válida e classifica a ocorrência: sem mudança, novo andamento, mudança de unidade, processo parado, processo não localizado, sessão expirada ou erro técnico. A comparação usa o hash do conteúdo, o que evita gerar o mesmo aviso duas vezes.</w:t>
      </w:r>
    </w:p>
    <w:p>
      <w:pPr>
        <w:pStyle w:val="Heading2"/>
      </w:pPr>
      <w:r>
        <w:t>4.6 Integração com Planilhas</w:t>
      </w:r>
    </w:p>
    <w:p>
      <w:pPr>
        <w:spacing w:line="259" w:lineRule="auto" w:after="120"/>
      </w:pPr>
      <w:r>
        <w:rPr>
          <w:rFonts w:ascii="Arial" w:hAnsi="Arial"/>
          <w:sz w:val="21"/>
        </w:rPr>
        <w:t>Atualiza as planilhas de acompanhamento simplificado sem que elas sejam a fonte oficial do histórico. O formato de destino deve ser decidido antes da implementação, conforme o item 15.</w:t>
      </w:r>
    </w:p>
    <w:p>
      <w:pPr>
        <w:pStyle w:val="Heading2"/>
      </w:pPr>
      <w:r>
        <w:t>4.7 Resumo Executivo</w:t>
      </w:r>
    </w:p>
    <w:p>
      <w:pPr>
        <w:spacing w:line="259" w:lineRule="auto" w:after="120"/>
      </w:pPr>
      <w:r>
        <w:rPr>
          <w:rFonts w:ascii="Arial" w:hAnsi="Arial"/>
          <w:sz w:val="21"/>
        </w:rPr>
        <w:t>Entrega ao Gabinete uma síntese diária do que mudou e do que requer atenção, no mesmo formato que o Gabinete já utiliza na rotina de despacho.</w:t>
      </w:r>
    </w:p>
    <w:p>
      <w:pPr>
        <w:pStyle w:val="Heading2"/>
      </w:pPr>
      <w:r>
        <w:t>4.8 Logs e Auditoria</w:t>
      </w:r>
    </w:p>
    <w:p>
      <w:pPr>
        <w:spacing w:line="259" w:lineRule="auto" w:after="120"/>
      </w:pPr>
      <w:r>
        <w:rPr>
          <w:rFonts w:ascii="Arial" w:hAnsi="Arial"/>
          <w:sz w:val="21"/>
        </w:rPr>
        <w:t>Registra quando cada processo foi consultado, qual resultado foi obtido e quais erros ocorreram, permitindo rastreabilidade.</w:t>
      </w:r>
    </w:p>
    <w:p>
      <w:pPr>
        <w:pStyle w:val="Heading2"/>
      </w:pPr>
      <w:r>
        <w:t>4.9 Monitor de Execução</w:t>
      </w:r>
    </w:p>
    <w:p>
      <w:pPr>
        <w:spacing w:line="259" w:lineRule="auto" w:after="120"/>
      </w:pPr>
      <w:r>
        <w:rPr>
          <w:rFonts w:ascii="Arial" w:hAnsi="Arial"/>
          <w:sz w:val="21"/>
        </w:rPr>
        <w:t>Registra cada execução da rotina e expõe o resultado nas saídas. Garante que uma rotina que não rodou não seja confundida com um dia sem movimentação.</w:t>
      </w:r>
    </w:p>
    <w:p>
      <w:pPr>
        <w:pStyle w:val="Heading1"/>
      </w:pPr>
      <w:r>
        <w:t>5. Modelo de dados</w:t>
      </w:r>
    </w:p>
    <w:p>
      <w:pPr>
        <w:spacing w:line="259" w:lineRule="auto" w:after="120"/>
      </w:pPr>
      <w:r>
        <w:rPr>
          <w:rFonts w:ascii="Arial" w:hAnsi="Arial"/>
          <w:sz w:val="21"/>
        </w:rPr>
        <w:t>O modelo é dividido em três tabelas porque mistura informações com ciclos de vida diferentes. O cadastro é editado por pessoas e muda pouco; as fotografias são gravadas pelo robô a cada execução; as ocorrências são o que o Gabinete realmente lê.</w:t>
      </w:r>
    </w:p>
    <w:p>
      <w:pPr>
        <w:pStyle w:val="Heading2"/>
      </w:pPr>
      <w:r>
        <w:t>5.1 Tabela processos — cadastro mestre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3200"/>
        <w:gridCol w:w="4372"/>
      </w:tblGrid>
      <w:tr>
        <w:trPr>
          <w:tblHeader w:val="true"/>
        </w:trPr>
        <w:tc>
          <w:tcPr>
            <w:tcW w:type="dxa" w:w="240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320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Exemplo</w:t>
            </w:r>
          </w:p>
        </w:tc>
        <w:tc>
          <w:tcPr>
            <w:tcW w:type="dxa" w:w="437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sistema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SEI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Primeira parte da chave; define qual coletor será usado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numero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2439/2026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Segunda parte da chave do processo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area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DSAN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Área responsável pelo acompanhamento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programa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Banco de Alimentos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Agrupamento gerencial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descricao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Equipamentos – câmaras frias e geradores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Objeto resumido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ativo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Define se o processo entra na rotina diária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motivo_inativacao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Concluído em 12/09/2026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Registra por que o processo saiu do monitoramento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atualizado_em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2026-10-06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Controle de edição do cadastro</w:t>
            </w:r>
          </w:p>
        </w:tc>
      </w:tr>
    </w:tbl>
    <w:p>
      <w:pPr>
        <w:spacing w:after="120"/>
      </w:pPr>
    </w:p>
    <w:p>
      <w:pPr>
        <w:pStyle w:val="Heading2"/>
      </w:pPr>
      <w:r>
        <w:t>5.2 Tabela snapshots — fotografias de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3200"/>
        <w:gridCol w:w="4372"/>
      </w:tblGrid>
      <w:tr>
        <w:trPr>
          <w:tblHeader w:val="true"/>
        </w:trPr>
        <w:tc>
          <w:tcPr>
            <w:tcW w:type="dxa" w:w="240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320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Exemplo</w:t>
            </w:r>
          </w:p>
        </w:tc>
        <w:tc>
          <w:tcPr>
            <w:tcW w:type="dxa" w:w="437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1182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Identificador da coleta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sistema + numero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SEI · 2439/2026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Chave do processo consultado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coletado_em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2026-10-06T06:03:11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Momento exato da consulta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status_coleta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OK, NAO_LOCALIZADO, SESSAO_EXPIRADA, ERRO_EXTRACAO, INDISPONIVEL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Resultado técnico da consulta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unidades_abertas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GSP; DIPLAN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Todas as unidades em que o processo está aberto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setor_exibicao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GSP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Unidade escolhida para a visão executiva; campo derivado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ultimo_tramite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Para análise e providências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Último andamento disponível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data_ultimo_tramite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2026-10-06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Data do último movimento, em formato ISO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hash_conteudo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9f2c…a1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Impressão digital dos campos comparáveis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valido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Marca se a fotografia pode servir de base para comparação</w:t>
            </w:r>
          </w:p>
        </w:tc>
      </w:tr>
    </w:tbl>
    <w:p>
      <w:pPr>
        <w:spacing w:after="120"/>
      </w:pPr>
    </w:p>
    <w:p>
      <w:pPr>
        <w:pStyle w:val="Heading2"/>
      </w:pPr>
      <w:r>
        <w:t>5.3 Tabela ocorrencias — eventos detectados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3200"/>
        <w:gridCol w:w="4372"/>
      </w:tblGrid>
      <w:tr>
        <w:trPr>
          <w:tblHeader w:val="true"/>
        </w:trPr>
        <w:tc>
          <w:tcPr>
            <w:tcW w:type="dxa" w:w="240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320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Exemplo</w:t>
            </w:r>
          </w:p>
        </w:tc>
        <w:tc>
          <w:tcPr>
            <w:tcW w:type="dxa" w:w="437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44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Identificador do evento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snapshot_id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1182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Fotografia que gerou o evento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tipo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MUDANCA_DE_UNIDADE, NOVO_ANDAMENTO, PARADO, FALHA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Classificação da ocorrência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descricao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De DIPLAN para GSP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Texto curto usado no resumo executivo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detectado_em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2026-10-06T06:03:12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Momento da detecção</w:t>
            </w:r>
          </w:p>
        </w:tc>
      </w:tr>
      <w:tr>
        <w:tc>
          <w:tcPr>
            <w:tcW w:type="dxa" w:w="2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comunicado</w:t>
            </w:r>
          </w:p>
        </w:tc>
        <w:tc>
          <w:tcPr>
            <w:tcW w:type="dxa" w:w="32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Sim</w:t>
            </w:r>
          </w:p>
        </w:tc>
        <w:tc>
          <w:tcPr>
            <w:tcW w:type="dxa" w:w="43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Evita repetir o mesmo aviso no resumo diário</w:t>
            </w:r>
          </w:p>
        </w:tc>
      </w:tr>
    </w:tbl>
    <w:p>
      <w:pPr>
        <w:spacing w:after="120"/>
      </w:pPr>
    </w:p>
    <w:p>
      <w:pPr>
        <w:pStyle w:val="Heading2"/>
      </w:pPr>
      <w:r>
        <w:t>5.4 Regras do modelo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 identificação de um processo é sempre o par sistema + número. O número isolado não é único, porque pode existir no SEI e no e-DOC.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Datas e horários são gravados em formato ISO. A formatação brasileira é aplicada apenas na saída.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Dias sem movimento é campo calculado na exibição, nunca armazenado.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Um processo pode estar aberto em mais de uma unidade ao mesmo tempo. A comparação considera o conjunto de unidades; setor_exibicao existe apenas para a visão executiva e não é a verdade do sistema.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Consultas que falharam também geram fotografia, com valido igual a Não, para que o histórico mostre as tentativas sem contaminar a comparação.</w:t>
      </w:r>
    </w:p>
    <w:p>
      <w:pPr>
        <w:pStyle w:val="Heading1"/>
      </w:pPr>
      <w:r>
        <w:t>6. Fluxo diário de execução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Carregar o Cadastro Mestre e selecionar apenas os processos ativos.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Identificar o sistema de origem de cada processo: SEI ou e-DOC.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Abrir ou reutilizar a sessão autenticada do navegador.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Consultar os processos em série, respeitando o intervalo definido no item 8.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Coletar os campos objetivos e validar se os dados mínimos foram encontrados.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Calcular o hash do conteúdo comparável da consulta.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Gravar a fotografia no banco de dados, inclusive quando a consulta falhar.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Comparar o hash com a última fotografia válida; se for idêntico, registrar sem mudança e não gerar ocorrência.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Quando houver diferença, classificar e gravar a ocorrência correspondente.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Atualizar a visão atual das planilhas de acompanhamento.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Gerar o resumo executivo e o relatório de exceções.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Gravar o carimbo de execução: horário de início e fim, processos consultados, falhas e duração.</w:t>
      </w:r>
    </w:p>
    <w:p>
      <w:pPr>
        <w:pStyle w:val="Heading1"/>
      </w:pPr>
      <w:r>
        <w:t>7. Como ficam as planilhas</w:t>
      </w:r>
    </w:p>
    <w:p>
      <w:pPr>
        <w:spacing w:line="259" w:lineRule="auto" w:after="120"/>
      </w:pPr>
      <w:r>
        <w:rPr>
          <w:rFonts w:ascii="Arial" w:hAnsi="Arial"/>
          <w:sz w:val="21"/>
        </w:rPr>
        <w:t>As planilhas deixam de ser o banco histórico principal e passam a funcionar como visão executiva. O histórico completo fica no SQLite. A estrutura recomendada para a visão atual 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900"/>
        <w:gridCol w:w="1900"/>
        <w:gridCol w:w="2572"/>
      </w:tblGrid>
      <w:tr>
        <w:trPr>
          <w:tblHeader w:val="true"/>
        </w:trPr>
        <w:tc>
          <w:tcPr>
            <w:tcW w:type="dxa" w:w="180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Processo</w:t>
            </w:r>
          </w:p>
        </w:tc>
        <w:tc>
          <w:tcPr>
            <w:tcW w:type="dxa" w:w="180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Unidade atual</w:t>
            </w:r>
          </w:p>
        </w:tc>
        <w:tc>
          <w:tcPr>
            <w:tcW w:type="dxa" w:w="190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Último trâmite</w:t>
            </w:r>
          </w:p>
        </w:tc>
        <w:tc>
          <w:tcPr>
            <w:tcW w:type="dxa" w:w="190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Dias sem movimento</w:t>
            </w:r>
          </w:p>
        </w:tc>
        <w:tc>
          <w:tcPr>
            <w:tcW w:type="dxa" w:w="257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2439/2026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GSP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06/10/2026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2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Equipamentos – câmaras frias e geradores.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3347/2026</w:t>
            </w:r>
          </w:p>
        </w:tc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DIPLAN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21/08/2026</w:t>
            </w:r>
          </w:p>
        </w:tc>
        <w:tc>
          <w:tcPr>
            <w:tcW w:type="dxa" w:w="19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46</w:t>
            </w:r>
          </w:p>
        </w:tc>
        <w:tc>
          <w:tcPr>
            <w:tcW w:type="dxa" w:w="2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Aditivo do convênio encaminhado à Caixa.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1F4E79"/>
                <w:sz w:val="21"/>
              </w:rPr>
              <w:t xml:space="preserve">Carimbo de execução: </w:t>
            </w:r>
            <w:r>
              <w:rPr>
                <w:rFonts w:ascii="Arial" w:hAnsi="Arial"/>
                <w:sz w:val="21"/>
              </w:rPr>
              <w:t>a planilha deve exibir, em posição fixa, a data e a hora da última execução bem-sucedida e o número de processos consultados com êxito. Sem esse carimbo, uma planilha parada por falha do robô é lida pelo Gabinete como ausência de movimentação, que é o erro mais grave possível em um sistema de monitoramento.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1F4E79"/>
                <w:sz w:val="21"/>
              </w:rPr>
              <w:t xml:space="preserve">Histórico: </w:t>
            </w:r>
            <w:r>
              <w:rPr>
                <w:rFonts w:ascii="Arial" w:hAnsi="Arial"/>
                <w:sz w:val="21"/>
              </w:rPr>
              <w:t>se houver necessidade de consulta temporal, uma aba específica ou tela de histórico pode mostrar todas as fotografias sem poluir a visão executiva da Secretária.</w:t>
            </w:r>
          </w:p>
        </w:tc>
      </w:tr>
    </w:tbl>
    <w:p>
      <w:pPr>
        <w:spacing w:after="120"/>
      </w:pPr>
    </w:p>
    <w:p>
      <w:pPr>
        <w:pStyle w:val="Heading1"/>
      </w:pPr>
      <w:r>
        <w:t>8. Autenticação, segurança e operação</w:t>
      </w:r>
    </w:p>
    <w:p>
      <w:pPr>
        <w:pStyle w:val="Heading2"/>
      </w:pPr>
      <w:r>
        <w:t>8.1 Credenciais e sessão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Não armazenar usuário e senha em código-fonte, repositório Git ou planilha. Usar arquivo de ambiente fora do versionamento ou o gerenciador de credenciais do sistema operacional.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Usar perfil persistente de navegador para reaproveitar sessão já autenticada, quando permitido pelo sistema.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Quando a sessão expirar, interromper a coleta afetada e solicitar novo login manual.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Não tentar burlar MFA, CAPTCHA, limitação de acesso ou outros controles de segurança.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Chaves de integração com planilhas em nuvem são segredo e seguem a mesma regra das senhas.</w:t>
      </w:r>
    </w:p>
    <w:p>
      <w:pPr>
        <w:pStyle w:val="Heading2"/>
      </w:pPr>
      <w:r>
        <w:t>8.2 Ritmo e carga sobre os sistemas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Execução em série, uma consulta por vez, sem paralelismo.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Intervalo mínimo entre consultas e teto diário definidos em arquivo de configuração, não no código.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Execução preferencialmente em horário de baixa utilização dos sistemas.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Em caso de lentidão ou erro repetido, interromper a rodada e tentar na execução seguinte, em vez de insistir.</w:t>
      </w:r>
    </w:p>
    <w:p>
      <w:pPr>
        <w:pStyle w:val="Heading2"/>
      </w:pPr>
      <w:r>
        <w:t>8.3 Conformidade institucional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Executar o robô com conta autorizada e perfil de consulta compatível com as permissões institucionais já existentes.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Antes de iniciar a consulta em lote, registrar ciência formal à ASSTI/STI descrevendo o escopo: leitura, conta própria, sem movimentação de processos e sem contorno de controle de segurança.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Manter a primeira versão limitada a leitura e monitoramento, reduzindo risco operacional.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Manter o repositório e a documentação em local institucional, não apenas na máquina de quem desenvolve.</w:t>
      </w:r>
    </w:p>
    <w:p>
      <w:pPr>
        <w:pStyle w:val="Heading2"/>
      </w:pPr>
      <w:r>
        <w:t>8.4 Continuidade operacional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Documentar desde a Fase 1 como executar a rotina, como refazer o login e como corrigir um seletor quebrado.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Garantir que ao menos um segundo servidor do Gabinete saiba executar e interromper a rotina.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Deixar explícito para o Gabinete que a rotina é assistida: a autenticação exige intervenção humana periódica e o sistema não roda indefinidamente sozinho.</w:t>
      </w:r>
    </w:p>
    <w:p>
      <w:pPr>
        <w:pStyle w:val="Heading1"/>
      </w:pPr>
      <w:r>
        <w:t>9. Proteção de dados e retenção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Processos da SEASIC podem conter dados pessoais de beneficiários e servidores. A base deve ser tratada como informação institucional de acesso restrito.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Coletar apenas os campos previstos no item 5. Não copiar conteúdo integral de documentos do processo.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Manter banco de dados e logs em pasta de acesso restrito, fora de qualquer sincronização pública.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Logs registram identificador do processo, resultado e erro técnico; não registram conteúdo de documento.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Definir prazo de retenção para logs técnicos e manter o histórico de fotografias enquanto o processo for de interesse do Gabinete.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Backup periódico do arquivo SQLite, com cópia fora da máquina de execução.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Acesso ao banco restrito à equipe do Gabinete envolvida no acompanhamento.</w:t>
      </w:r>
    </w:p>
    <w:p>
      <w:pPr>
        <w:pStyle w:val="Heading1"/>
      </w:pPr>
      <w:r>
        <w:t>10. Tratamento de erros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6572"/>
      </w:tblGrid>
      <w:tr>
        <w:trPr>
          <w:tblHeader w:val="true"/>
        </w:trPr>
        <w:tc>
          <w:tcPr>
            <w:tcW w:type="dxa" w:w="340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657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Comportamento esperado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Processo não localizado</w:t>
            </w:r>
          </w:p>
        </w:tc>
        <w:tc>
          <w:tcPr>
            <w:tcW w:type="dxa" w:w="6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Registrar a falha como fotografia inválida, não sobrescrever o último status válido e incluir na lista de exceções.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Sessão expirada</w:t>
            </w:r>
          </w:p>
        </w:tc>
        <w:tc>
          <w:tcPr>
            <w:tcW w:type="dxa" w:w="6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Interromper o coletor daquele sistema, sinalizar necessidade de login e preservar os dados anteriores.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Layout do sistema mudou</w:t>
            </w:r>
          </w:p>
        </w:tc>
        <w:tc>
          <w:tcPr>
            <w:tcW w:type="dxa" w:w="6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Registrar falha de extração; não inferir dados; corrigir o seletor na configuração antes de retomar.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Sistema indisponível</w:t>
            </w:r>
          </w:p>
        </w:tc>
        <w:tc>
          <w:tcPr>
            <w:tcW w:type="dxa" w:w="6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Registrar indisponibilidade e tentar novamente em execução posterior.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Dados incompletos</w:t>
            </w:r>
          </w:p>
        </w:tc>
        <w:tc>
          <w:tcPr>
            <w:tcW w:type="dxa" w:w="6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Salvar apenas se os campos mínimos forem confiáveis; caso contrário, marcar a fotografia como inválida.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Processo mudou de número ou sistema</w:t>
            </w:r>
          </w:p>
        </w:tc>
        <w:tc>
          <w:tcPr>
            <w:tcW w:type="dxa" w:w="6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Atualizar manualmente o Cadastro Mestre após validação humana.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Processo aberto em várias unidades</w:t>
            </w:r>
          </w:p>
        </w:tc>
        <w:tc>
          <w:tcPr>
            <w:tcW w:type="dxa" w:w="6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Registrar o conjunto completo de unidades e só acusar mudança quando o conjunto mudar.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Execução repetida no mesmo dia</w:t>
            </w:r>
          </w:p>
        </w:tc>
        <w:tc>
          <w:tcPr>
            <w:tcW w:type="dxa" w:w="6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Comparar pelo hash; se não houver diferença, não gerar nova ocorrência nem duplicar avisos.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A rotina não foi executada</w:t>
            </w:r>
          </w:p>
        </w:tc>
        <w:tc>
          <w:tcPr>
            <w:tcW w:type="dxa" w:w="6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Sinalizar no resumo e na planilha que não houve coleta. Ausência de dado nunca pode ser exibida como ausência de movimentação.</w:t>
            </w:r>
          </w:p>
        </w:tc>
      </w:tr>
    </w:tbl>
    <w:p>
      <w:pPr>
        <w:spacing w:after="120"/>
      </w:pPr>
    </w:p>
    <w:p>
      <w:pPr>
        <w:pStyle w:val="Heading1"/>
      </w:pPr>
      <w:r>
        <w:t>11. Estrutura técnica sugerida</w:t>
      </w:r>
    </w:p>
    <w:p>
      <w:pPr>
        <w:spacing w:line="259" w:lineRule="auto" w:after="120"/>
      </w:pPr>
      <w:r>
        <w:rPr>
          <w:rFonts w:ascii="Arial" w:hAnsi="Arial"/>
          <w:b/>
          <w:sz w:val="21"/>
        </w:rPr>
        <w:t xml:space="preserve">Stack inicial: </w:t>
      </w:r>
      <w:r>
        <w:rPr>
          <w:rFonts w:ascii="Arial" w:hAnsi="Arial"/>
          <w:sz w:val="21"/>
        </w:rPr>
        <w:t>Python + Playwright + SQLite + integração com planilhas + execução via linha de comando.</w:t>
      </w:r>
    </w:p>
    <w:p>
      <w:pPr>
        <w:spacing w:line="259" w:lineRule="auto" w:after="120"/>
        <w:ind w:left="340"/>
      </w:pPr>
      <w:r>
        <w:rPr>
          <w:rFonts w:ascii="Courier New" w:hAnsi="Courier New"/>
          <w:sz w:val="18"/>
        </w:rPr>
        <w:t xml:space="preserve">seasic-processos/</w:t>
        <w:br/>
        <w:t xml:space="preserve">├── app/</w:t>
        <w:br/>
        <w:t xml:space="preserve">│   ├── collectors/</w:t>
        <w:br/>
        <w:t xml:space="preserve">│   │   ├── sei.py</w:t>
        <w:br/>
        <w:t xml:space="preserve">│   │   └── edoc.py</w:t>
        <w:br/>
        <w:t xml:space="preserve">│   ├── database/</w:t>
        <w:br/>
        <w:t xml:space="preserve">│   │   ├── schema.sql</w:t>
        <w:br/>
        <w:t xml:space="preserve">│   │   └── repository.py</w:t>
        <w:br/>
        <w:t xml:space="preserve">│   ├── services/</w:t>
        <w:br/>
        <w:t xml:space="preserve">│   │   ├── monitor.py</w:t>
        <w:br/>
        <w:t xml:space="preserve">│   │   ├── comparator.py</w:t>
        <w:br/>
        <w:t xml:space="preserve">│   │   └── health.py</w:t>
        <w:br/>
        <w:t xml:space="preserve">│   └── planilhas/</w:t>
        <w:br/>
        <w:t xml:space="preserve">│       └── exportador.py</w:t>
        <w:br/>
        <w:t xml:space="preserve">├── config/</w:t>
        <w:br/>
        <w:t xml:space="preserve">│   ├── processos.xlsx</w:t>
        <w:br/>
        <w:t xml:space="preserve">│   ├── seletores.yaml</w:t>
        <w:br/>
        <w:t xml:space="preserve">│   └── execucao.yaml</w:t>
        <w:br/>
        <w:t xml:space="preserve">├── data/</w:t>
        <w:br/>
        <w:t xml:space="preserve">│   ├── processos.sqlite</w:t>
        <w:br/>
        <w:t xml:space="preserve">│   └── backup/</w:t>
        <w:br/>
        <w:t xml:space="preserve">├── docs/</w:t>
        <w:br/>
        <w:t xml:space="preserve">│   └── operacao.md</w:t>
        <w:br/>
        <w:t xml:space="preserve">├── browser_profiles/</w:t>
        <w:br/>
        <w:t xml:space="preserve">├── logs/</w:t>
        <w:br/>
        <w:t xml:space="preserve">├── .env.example</w:t>
        <w:br/>
        <w:t xml:space="preserve">└── main.py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Os seletores de cada sistema ficam em config/seletores.yaml. Uma mudança de layout vira ajuste de configuração, não alteração de código.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O ritmo de consulta, a janela de execução e o teto diário ficam em config/execucao.yaml.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O arquivo .env real nunca é versionado; o repositório guarda apenas o .env.example.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docs/operacao.md é requisito da Fase 1, não documentação posterior.</w:t>
      </w:r>
    </w:p>
    <w:p>
      <w:pPr>
        <w:pStyle w:val="Heading1"/>
      </w:pPr>
      <w:r>
        <w:t>12. MVP recomendado</w:t>
      </w:r>
    </w:p>
    <w:p>
      <w:pPr>
        <w:spacing w:line="259" w:lineRule="auto" w:after="120"/>
      </w:pPr>
      <w:r>
        <w:rPr>
          <w:rFonts w:ascii="Arial" w:hAnsi="Arial"/>
          <w:sz w:val="21"/>
        </w:rPr>
        <w:t>O primeiro objetivo não é automatizar toda a SEASIC. É provar a confiabilidade da consulta com um conjunto pequeno e conhecido.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Escopo inicial: Banco de Alimentos e Cozinha Comunitária.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Volume: aproximadamente 8 a 12 processos.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Saída mínima: processo, sistema, unidades abertas, último andamento, data do último andamento e status da consulta.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Critério de sucesso: 10 processos conferidos manualmente durante 5 dias úteis, com nenhuma divergência de unidade e nenhuma data incorreta.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1F4E79"/>
                <w:sz w:val="21"/>
              </w:rPr>
              <w:t xml:space="preserve">Primeiro teste sugerido: </w:t>
            </w:r>
            <w:r>
              <w:rPr>
                <w:rFonts w:ascii="Arial" w:hAnsi="Arial"/>
                <w:sz w:val="21"/>
              </w:rPr>
              <w:t>consultar um processo conhecido, por exemplo 2439/2026, e devolver os dados estruturados sem atualizar qualquer planilha. Depois validar manualmente no sistema oficial.</w:t>
            </w:r>
          </w:p>
        </w:tc>
      </w:tr>
    </w:tbl>
    <w:p>
      <w:pPr>
        <w:spacing w:after="120"/>
      </w:pPr>
    </w:p>
    <w:p>
      <w:pPr>
        <w:pStyle w:val="Heading1"/>
      </w:pPr>
      <w:r>
        <w:t>13. Fases de desenvolvimento</w:t>
      </w:r>
    </w:p>
    <w:p>
      <w:pPr>
        <w:spacing w:line="259" w:lineRule="auto" w:after="120"/>
      </w:pPr>
      <w:r>
        <w:rPr>
          <w:rFonts w:ascii="Arial" w:hAnsi="Arial"/>
          <w:b/>
          <w:sz w:val="21"/>
        </w:rPr>
        <w:t xml:space="preserve">Fase 1 — Consulta unitária: </w:t>
      </w:r>
      <w:r>
        <w:rPr>
          <w:rFonts w:ascii="Arial" w:hAnsi="Arial"/>
          <w:sz w:val="21"/>
        </w:rPr>
        <w:t>implementar comando para consultar um processo e retornar dados estruturados, junto com a primeira versão de docs/operacao.md.</w:t>
      </w:r>
    </w:p>
    <w:p>
      <w:pPr>
        <w:spacing w:line="259" w:lineRule="auto" w:after="120"/>
      </w:pPr>
      <w:r>
        <w:rPr>
          <w:rFonts w:ascii="Arial" w:hAnsi="Arial"/>
          <w:b/>
          <w:sz w:val="21"/>
        </w:rPr>
        <w:t xml:space="preserve">Fase 2 — Lote com persistência: </w:t>
      </w:r>
      <w:r>
        <w:rPr>
          <w:rFonts w:ascii="Arial" w:hAnsi="Arial"/>
          <w:sz w:val="21"/>
        </w:rPr>
        <w:t>ler o cadastro mestre, consultar todos os processos ativos do MVP e gravar cada fotografia no SQLite na mesma entrega.</w:t>
      </w:r>
    </w:p>
    <w:p>
      <w:pPr>
        <w:spacing w:line="259" w:lineRule="auto" w:after="120"/>
      </w:pPr>
      <w:r>
        <w:rPr>
          <w:rFonts w:ascii="Arial" w:hAnsi="Arial"/>
          <w:b/>
          <w:sz w:val="21"/>
        </w:rPr>
        <w:t xml:space="preserve">Fase 3 — Comparação e exceções: </w:t>
      </w:r>
      <w:r>
        <w:rPr>
          <w:rFonts w:ascii="Arial" w:hAnsi="Arial"/>
          <w:sz w:val="21"/>
        </w:rPr>
        <w:t>detectar mudança de unidade, novo andamento e tempo sem movimentação, com controle de duplicidade por hash.</w:t>
      </w:r>
    </w:p>
    <w:p>
      <w:pPr>
        <w:spacing w:line="259" w:lineRule="auto" w:after="120"/>
      </w:pPr>
      <w:r>
        <w:rPr>
          <w:rFonts w:ascii="Arial" w:hAnsi="Arial"/>
          <w:b/>
          <w:sz w:val="21"/>
        </w:rPr>
        <w:t xml:space="preserve">Fase 4 — Resumo executivo: </w:t>
      </w:r>
      <w:r>
        <w:rPr>
          <w:rFonts w:ascii="Arial" w:hAnsi="Arial"/>
          <w:sz w:val="21"/>
        </w:rPr>
        <w:t>gerar a síntese diária de mudanças, parados e erros, no formato que o Gabinete já utiliza.</w:t>
      </w:r>
    </w:p>
    <w:p>
      <w:pPr>
        <w:spacing w:line="259" w:lineRule="auto" w:after="120"/>
      </w:pPr>
      <w:r>
        <w:rPr>
          <w:rFonts w:ascii="Arial" w:hAnsi="Arial"/>
          <w:b/>
          <w:sz w:val="21"/>
        </w:rPr>
        <w:t xml:space="preserve">Fase 5 — Planilhas: </w:t>
      </w:r>
      <w:r>
        <w:rPr>
          <w:rFonts w:ascii="Arial" w:hAnsi="Arial"/>
          <w:sz w:val="21"/>
        </w:rPr>
        <w:t>atualizar automaticamente as planilhas simplificadas, incluindo o carimbo de execução.</w:t>
      </w:r>
    </w:p>
    <w:p>
      <w:pPr>
        <w:spacing w:line="259" w:lineRule="auto" w:after="120"/>
      </w:pPr>
      <w:r>
        <w:rPr>
          <w:rFonts w:ascii="Arial" w:hAnsi="Arial"/>
          <w:b/>
          <w:sz w:val="21"/>
        </w:rPr>
        <w:t xml:space="preserve">Fase 6 — Escala: </w:t>
      </w:r>
      <w:r>
        <w:rPr>
          <w:rFonts w:ascii="Arial" w:hAnsi="Arial"/>
          <w:sz w:val="21"/>
        </w:rPr>
        <w:t>expandir gradualmente para todas as áreas e processos cadastrados.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1F4E79"/>
                <w:sz w:val="21"/>
              </w:rPr>
              <w:t xml:space="preserve">Por que esta ordem: </w:t>
            </w:r>
            <w:r>
              <w:rPr>
                <w:rFonts w:ascii="Arial" w:hAnsi="Arial"/>
                <w:sz w:val="21"/>
              </w:rPr>
              <w:t>consulta em lote sem persistência descarta a cada execução justamente o histórico necessário para testar a comparação, por isso as duas andam juntas. E o resumo executivo vem antes das planilhas porque é ele que faz o Gabinete perceber valor; a atualização automática da planilha é conveniência interna.</w:t>
            </w:r>
          </w:p>
        </w:tc>
      </w:tr>
    </w:tbl>
    <w:p>
      <w:pPr>
        <w:spacing w:after="120"/>
      </w:pPr>
    </w:p>
    <w:p>
      <w:pPr>
        <w:pStyle w:val="Heading1"/>
      </w:pPr>
      <w:r>
        <w:t>14. Critérios de aceitação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O sistema não sobrescreve o último dado válido quando a consulta falha.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Cada fotografia tem data e hora de consulta registradas, inclusive as que falharam.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Cada processo é identificado pelo par sistema + número.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Datas são armazenadas em formato ISO e formatadas apenas na exibição.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Mudanças de unidade são detectadas automaticamente e não se repetem quando nada mudou.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Duas execuções no mesmo dia não geram ocorrências duplicadas.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É possível consultar o histórico de um processo sem depender da planilha.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 planilha apresenta apenas o estado atual, as informações executivas necessárias e o carimbo da última execução bem-sucedida.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 execução gera relatório de processos consultados, alterados, sem mudança e com erro.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Nenhuma credencial é gravada no código ou versionada no Git.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O teste de confiabilidade do item 12 é concluído sem divergência antes de a Fase 5 ser liberada.</w:t>
      </w:r>
    </w:p>
    <w:p>
      <w:pPr>
        <w:pStyle w:val="Heading1"/>
      </w:pPr>
      <w:r>
        <w:t>15. Decisões arquiteturais já definidas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Projeto desenvolvido internamente, sem dependência inicial de integração com a EMGETIS.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Automação orientada a leitura, preservando os sistemas oficiais como fonte primária.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Playwright como estratégia inicial para sistemas sem API acessível ao projeto.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SQLite como banco inicial, com possibilidade de migração posterior se o volume justificar.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Cadastro Mestre como fonte única dos processos monitorados, com chave composta por sistema e número.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Modelo de dados separado em cadastro, fotografias e ocorrências.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Histórico no banco; planilhas como camada de visualização gerencial.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Seletores e parâmetros de execução em configuração, fora do código.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Ciência formal à ASSTI/STI registrada antes do início da consulta em lote.</w:t>
      </w:r>
    </w:p>
    <w:p>
      <w:pPr>
        <w:pStyle w:val="ListBullet"/>
        <w:spacing w:after="60"/>
      </w:pPr>
      <w:r>
        <w:rPr>
          <w:rFonts w:ascii="Arial" w:hAnsi="Arial"/>
          <w:sz w:val="21"/>
        </w:rPr>
        <w:t>Desenvolvimento incremental no Claude Code, evitando construir todas as integrações de uma vez.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1F4E79"/>
                <w:sz w:val="21"/>
              </w:rPr>
              <w:t xml:space="preserve">Decisão ainda pendente: </w:t>
            </w:r>
            <w:r>
              <w:rPr>
                <w:rFonts w:ascii="Arial" w:hAnsi="Arial"/>
                <w:sz w:val="21"/>
              </w:rPr>
              <w:t>definir se as planilhas de acompanhamento permanecem em arquivo .xlsx ou migram para planilha em nuvem. Manter os dois formatos em paralelo é o pior cenário e a escolha precisa ser feita antes da Fase 5, porque muda a integração, o controle de acesso e o segredo a ser gerenciado.</w:t>
            </w:r>
          </w:p>
        </w:tc>
      </w:tr>
    </w:tbl>
    <w:p>
      <w:pPr>
        <w:spacing w:after="120"/>
      </w:pPr>
    </w:p>
    <w:p>
      <w:pPr>
        <w:pStyle w:val="Heading1"/>
      </w:pPr>
      <w:r>
        <w:t>16. Riscos e mitigações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6572"/>
      </w:tblGrid>
      <w:tr>
        <w:trPr>
          <w:tblHeader w:val="true"/>
        </w:trPr>
        <w:tc>
          <w:tcPr>
            <w:tcW w:type="dxa" w:w="3400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Risco</w:t>
            </w:r>
          </w:p>
        </w:tc>
        <w:tc>
          <w:tcPr>
            <w:tcW w:type="dxa" w:w="6572"/>
            <w:shd w:fill="1F4E7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Mitigação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A rotina para de rodar sem ninguém perceber</w:t>
            </w:r>
          </w:p>
        </w:tc>
        <w:tc>
          <w:tcPr>
            <w:tcW w:type="dxa" w:w="6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Carimbo de execução visível na planilha e no resumo, com data da última execução bem-sucedida.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Mudança de layout do SEI ou do e-DOC</w:t>
            </w:r>
          </w:p>
        </w:tc>
        <w:tc>
          <w:tcPr>
            <w:tcW w:type="dxa" w:w="6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Seletores em configuração, verificação diária em um processo conhecido e falha explícita em vez de dado inferido.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Expiração de sessão e exigência de MFA</w:t>
            </w:r>
          </w:p>
        </w:tc>
        <w:tc>
          <w:tcPr>
            <w:tcW w:type="dxa" w:w="6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Rotina assumidamente assistida, aviso de login pendente e preservação do último dado válido.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Dependência de uma única pessoa e de uma única máquina</w:t>
            </w:r>
          </w:p>
        </w:tc>
        <w:tc>
          <w:tcPr>
            <w:tcW w:type="dxa" w:w="6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Documentação de operação, repositório institucional e um segundo operador treinado.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Questionamento sobre automação de acesso aos sistemas</w:t>
            </w:r>
          </w:p>
        </w:tc>
        <w:tc>
          <w:tcPr>
            <w:tcW w:type="dxa" w:w="6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Escopo somente leitura, conta autorizada, ritmo controlado e ciência registrada à ASSTI/STI.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Lista de processos cresce e o resumo perde sinal</w:t>
            </w:r>
          </w:p>
        </w:tc>
        <w:tc>
          <w:tcPr>
            <w:tcW w:type="dxa" w:w="6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Regra de inativação com motivo registrado e revisão periódica do cadastro mestre.</w:t>
            </w:r>
          </w:p>
        </w:tc>
      </w:tr>
      <w:tr>
        <w:tc>
          <w:tcPr>
            <w:tcW w:type="dxa" w:w="340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Robô acusa mudança todo dia sem mudança real</w:t>
            </w:r>
          </w:p>
        </w:tc>
        <w:tc>
          <w:tcPr>
            <w:tcW w:type="dxa" w:w="657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sz w:val="18"/>
              </w:rPr>
              <w:t>Comparação por conjunto de unidades e por hash do conteúdo, não por campo isolado.</w:t>
            </w:r>
          </w:p>
        </w:tc>
      </w:tr>
    </w:tbl>
    <w:p>
      <w:pPr>
        <w:spacing w:after="120"/>
      </w:pPr>
    </w:p>
    <w:p>
      <w:pPr>
        <w:pStyle w:val="Heading1"/>
      </w:pPr>
      <w:r>
        <w:t>17. Próximos passos</w:t>
      </w:r>
    </w:p>
    <w:p>
      <w:pPr>
        <w:spacing w:after="120" w:line="259" w:lineRule="auto"/>
      </w:pPr>
      <w:r>
        <w:rPr>
          <w:rFonts w:ascii="Arial" w:hAnsi="Arial"/>
          <w:sz w:val="21"/>
        </w:rPr>
        <w:t>1. Criar o repositório do projeto em local institucional, com a estrutura inicial de pastas e o .env.example.</w:t>
      </w:r>
    </w:p>
    <w:p>
      <w:pPr>
        <w:spacing w:after="120" w:line="259" w:lineRule="auto"/>
      </w:pPr>
      <w:r>
        <w:rPr>
          <w:rFonts w:ascii="Arial" w:hAnsi="Arial"/>
          <w:sz w:val="21"/>
        </w:rPr>
        <w:t>2. Montar o Cadastro Mestre do MVP com Banco de Alimentos e Cozinha Comunitária.</w:t>
      </w:r>
    </w:p>
    <w:p>
      <w:pPr>
        <w:spacing w:after="120" w:line="259" w:lineRule="auto"/>
      </w:pPr>
      <w:r>
        <w:rPr>
          <w:rFonts w:ascii="Arial" w:hAnsi="Arial"/>
          <w:sz w:val="21"/>
        </w:rPr>
        <w:t>3. Mapear manualmente o fluxo de consulta de um processo no SEI e de um processo no e-DOC, registrando os seletores em config/seletores.yaml.</w:t>
      </w:r>
    </w:p>
    <w:p>
      <w:pPr>
        <w:spacing w:after="120" w:line="259" w:lineRule="auto"/>
      </w:pPr>
      <w:r>
        <w:rPr>
          <w:rFonts w:ascii="Arial" w:hAnsi="Arial"/>
          <w:sz w:val="21"/>
        </w:rPr>
        <w:t>4. Implementar o coletor do primeiro sistema com Playwright.</w:t>
      </w:r>
    </w:p>
    <w:p>
      <w:pPr>
        <w:spacing w:after="120" w:line="259" w:lineRule="auto"/>
      </w:pPr>
      <w:r>
        <w:rPr>
          <w:rFonts w:ascii="Arial" w:hAnsi="Arial"/>
          <w:sz w:val="21"/>
        </w:rPr>
        <w:t>5. Validar a consulta de 2439/2026 e mais 2 a 3 processos conhecidos.</w:t>
      </w:r>
    </w:p>
    <w:p>
      <w:pPr>
        <w:spacing w:after="120" w:line="259" w:lineRule="auto"/>
      </w:pPr>
      <w:r>
        <w:rPr>
          <w:rFonts w:ascii="Arial" w:hAnsi="Arial"/>
          <w:sz w:val="21"/>
        </w:rPr>
        <w:t>6. Registrar a ciência à ASSTI/STI antes de iniciar a consulta em lote.</w:t>
      </w:r>
    </w:p>
    <w:p>
      <w:pPr>
        <w:spacing w:after="120" w:line="259" w:lineRule="auto"/>
      </w:pPr>
      <w:r>
        <w:rPr>
          <w:rFonts w:ascii="Arial" w:hAnsi="Arial"/>
          <w:sz w:val="21"/>
        </w:rPr>
        <w:t>7. Implementar a persistência junto com o lote e, somente depois, comparação, resumo executivo e atualização das planilhas.</w:t>
      </w:r>
    </w:p>
    <w:p>
      <w:pPr>
        <w:spacing w:after="120" w:line="259" w:lineRule="auto"/>
      </w:pPr>
      <w:r>
        <w:rPr>
          <w:rFonts w:ascii="Arial" w:hAnsi="Arial"/>
          <w:sz w:val="21"/>
        </w:rPr>
        <w:t>8. Expandir por área de forma progressiva.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rial" w:hAnsi="Arial"/>
                <w:b/>
                <w:color w:val="1F4E79"/>
                <w:sz w:val="21"/>
              </w:rPr>
              <w:t xml:space="preserve">Resultado esperado do projeto: </w:t>
            </w:r>
            <w:r>
              <w:rPr>
                <w:rFonts w:ascii="Arial" w:hAnsi="Arial"/>
                <w:sz w:val="21"/>
              </w:rPr>
              <w:t>transformar o acompanhamento processual do Gabinete de uma rotina manual e repetitiva em um monitoramento automático, auditável e orientado a exceções.</w:t>
            </w:r>
          </w:p>
        </w:tc>
      </w:tr>
    </w:tbl>
    <w:p>
      <w:pPr>
        <w:spacing w:after="120"/>
      </w:pPr>
    </w:p>
    <w:sectPr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Arquitetura do Projeto · Monitoramento Processual SEASIC  |  Página </w:t>
    </w:r>
    <w:r>
      <w:rPr>
        <w:rFonts w:ascii="Arial" w:hAnsi="Arial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F4E79"/>
        <w:sz w:val="16"/>
      </w:rPr>
      <w:t>SEASIC · ACOMPANHAMENTO DE GABINETE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